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A014C5" w14:textId="1AD78382" w:rsidR="00237996" w:rsidRPr="006A4B60" w:rsidRDefault="00A7622F" w:rsidP="002D4739">
      <w:pPr>
        <w:pStyle w:val="CS-IBMTOCforTOCTitleonly"/>
        <w:rPr>
          <w:rFonts w:ascii="Century Gothic" w:hAnsi="Century Gothic"/>
        </w:rPr>
      </w:pPr>
      <w:r>
        <w:rPr>
          <w:rFonts w:ascii="Century Gothic" w:hAnsi="Century Gothic"/>
        </w:rPr>
        <w:t xml:space="preserve">Section 3 </w:t>
      </w:r>
      <w:r w:rsidR="00237996" w:rsidRPr="006A4B60">
        <w:rPr>
          <w:rFonts w:ascii="Century Gothic" w:hAnsi="Century Gothic"/>
        </w:rPr>
        <w:t>Table of Contents</w:t>
      </w:r>
    </w:p>
    <w:p w14:paraId="7F548C87" w14:textId="0555AEC1" w:rsidR="002F6ADD" w:rsidRDefault="002F6ADD" w:rsidP="3997A780">
      <w:pPr>
        <w:pStyle w:val="TOC1"/>
        <w:rPr>
          <w:rFonts w:ascii="Arial Bold" w:hAnsi="Arial Bold"/>
          <w:caps/>
        </w:rPr>
      </w:pPr>
    </w:p>
    <w:p w14:paraId="661E7B72" w14:textId="14E781F9" w:rsidR="00BD5582" w:rsidRDefault="00D41F62" w:rsidP="540B3A79">
      <w:pPr>
        <w:pStyle w:val="TOC1"/>
        <w:rPr>
          <w:rFonts w:asciiTheme="minorHAnsi" w:eastAsiaTheme="minorEastAsia" w:hAnsiTheme="minorHAnsi" w:cstheme="minorBidi"/>
          <w:b w:val="0"/>
          <w:color w:val="auto"/>
          <w:kern w:val="2"/>
          <w:sz w:val="24"/>
          <w:szCs w:val="24"/>
          <w:lang w:eastAsia="en-US"/>
          <w14:ligatures w14:val="standardContextual"/>
        </w:rPr>
      </w:pPr>
      <w:r>
        <w:rPr>
          <w:rFonts w:ascii="Arial Bold" w:hAnsi="Arial Bold"/>
          <w:caps/>
        </w:rPr>
        <w:fldChar w:fldCharType="begin"/>
      </w:r>
      <w:r w:rsidRPr="3997A780">
        <w:rPr>
          <w:rFonts w:ascii="Arial Bold" w:hAnsi="Arial Bold"/>
        </w:rPr>
        <w:instrText xml:space="preserve"> TOC \o "1-3" \h \z \t "CS - IBM Heading 1,1,CS - IBM Heading 2,2,CS - IBM Heading 3,3" </w:instrText>
      </w:r>
      <w:r>
        <w:rPr>
          <w:rFonts w:ascii="Arial Bold" w:hAnsi="Arial Bold"/>
          <w:caps/>
        </w:rPr>
        <w:fldChar w:fldCharType="separate"/>
      </w:r>
      <w:hyperlink w:anchor="_Toc212460234" w:history="1">
        <w:r w:rsidR="00BD5582" w:rsidRPr="002B2E48">
          <w:rPr>
            <w:rStyle w:val="Hyperlink"/>
          </w:rPr>
          <w:t>3</w:t>
        </w:r>
        <w:r w:rsidR="00BD5582">
          <w:rPr>
            <w:rFonts w:asciiTheme="minorHAnsi" w:eastAsiaTheme="minorEastAsia" w:hAnsiTheme="minorHAnsi" w:cstheme="minorBidi"/>
            <w:b w:val="0"/>
            <w:color w:val="auto"/>
            <w:kern w:val="2"/>
            <w:sz w:val="24"/>
            <w:szCs w:val="24"/>
            <w:lang w:eastAsia="en-US"/>
            <w14:ligatures w14:val="standardContextual"/>
          </w:rPr>
          <w:tab/>
        </w:r>
        <w:r w:rsidR="00BD5582" w:rsidRPr="002B2E48">
          <w:rPr>
            <w:rStyle w:val="Hyperlink"/>
          </w:rPr>
          <w:t>Staffing Approach</w:t>
        </w:r>
        <w:r w:rsidR="00BD5582">
          <w:rPr>
            <w:webHidden/>
          </w:rPr>
          <w:tab/>
        </w:r>
        <w:r w:rsidR="00BD5582">
          <w:rPr>
            <w:webHidden/>
          </w:rPr>
          <w:fldChar w:fldCharType="begin"/>
        </w:r>
        <w:r w:rsidR="00BD5582">
          <w:rPr>
            <w:webHidden/>
          </w:rPr>
          <w:instrText xml:space="preserve"> PAGEREF _Toc212460234 \h </w:instrText>
        </w:r>
        <w:r w:rsidR="00BD5582">
          <w:rPr>
            <w:webHidden/>
          </w:rPr>
        </w:r>
        <w:r w:rsidR="00BD5582">
          <w:rPr>
            <w:webHidden/>
          </w:rPr>
          <w:fldChar w:fldCharType="separate"/>
        </w:r>
        <w:r w:rsidR="00C435D1">
          <w:rPr>
            <w:webHidden/>
          </w:rPr>
          <w:t>1</w:t>
        </w:r>
        <w:r w:rsidR="00BD5582">
          <w:rPr>
            <w:webHidden/>
          </w:rPr>
          <w:fldChar w:fldCharType="end"/>
        </w:r>
      </w:hyperlink>
    </w:p>
    <w:p w14:paraId="3A72B615" w14:textId="72D642E6" w:rsidR="00BD5582" w:rsidRDefault="00BD5582">
      <w:pPr>
        <w:pStyle w:val="TOC2"/>
        <w:rPr>
          <w:rFonts w:asciiTheme="minorHAnsi" w:eastAsiaTheme="minorEastAsia" w:hAnsiTheme="minorHAnsi" w:cstheme="minorBidi"/>
          <w:kern w:val="2"/>
          <w:sz w:val="24"/>
          <w:szCs w:val="24"/>
          <w:lang w:eastAsia="en-US"/>
          <w14:ligatures w14:val="standardContextual"/>
        </w:rPr>
      </w:pPr>
      <w:hyperlink w:anchor="_Toc212460235" w:history="1">
        <w:r w:rsidRPr="002B2E48">
          <w:rPr>
            <w:rStyle w:val="Hyperlink"/>
          </w:rPr>
          <w:t>3.1</w:t>
        </w:r>
        <w:r>
          <w:rPr>
            <w:rFonts w:asciiTheme="minorHAnsi" w:eastAsiaTheme="minorEastAsia" w:hAnsiTheme="minorHAnsi" w:cstheme="minorBidi"/>
            <w:kern w:val="2"/>
            <w:sz w:val="24"/>
            <w:szCs w:val="24"/>
            <w:lang w:eastAsia="en-US"/>
            <w14:ligatures w14:val="standardContextual"/>
          </w:rPr>
          <w:tab/>
        </w:r>
        <w:r w:rsidRPr="002B2E48">
          <w:rPr>
            <w:rStyle w:val="Hyperlink"/>
          </w:rPr>
          <w:t>Staffing Approach Narrative</w:t>
        </w:r>
        <w:r>
          <w:rPr>
            <w:webHidden/>
          </w:rPr>
          <w:tab/>
        </w:r>
        <w:r>
          <w:rPr>
            <w:webHidden/>
          </w:rPr>
          <w:fldChar w:fldCharType="begin"/>
        </w:r>
        <w:r>
          <w:rPr>
            <w:webHidden/>
          </w:rPr>
          <w:instrText xml:space="preserve"> PAGEREF _Toc212460235 \h </w:instrText>
        </w:r>
        <w:r>
          <w:rPr>
            <w:webHidden/>
          </w:rPr>
        </w:r>
        <w:r>
          <w:rPr>
            <w:webHidden/>
          </w:rPr>
          <w:fldChar w:fldCharType="separate"/>
        </w:r>
        <w:r w:rsidR="00C435D1">
          <w:rPr>
            <w:webHidden/>
          </w:rPr>
          <w:t>1</w:t>
        </w:r>
        <w:r>
          <w:rPr>
            <w:webHidden/>
          </w:rPr>
          <w:fldChar w:fldCharType="end"/>
        </w:r>
      </w:hyperlink>
    </w:p>
    <w:p w14:paraId="5DC0179F" w14:textId="1C28C6B2"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36" w:history="1">
        <w:r w:rsidRPr="002B2E48">
          <w:rPr>
            <w:rStyle w:val="Hyperlink"/>
          </w:rPr>
          <w:t>3.1.1 IBM Experience and Understanding</w:t>
        </w:r>
        <w:r>
          <w:rPr>
            <w:webHidden/>
          </w:rPr>
          <w:tab/>
        </w:r>
        <w:r>
          <w:rPr>
            <w:webHidden/>
          </w:rPr>
          <w:fldChar w:fldCharType="begin"/>
        </w:r>
        <w:r>
          <w:rPr>
            <w:webHidden/>
          </w:rPr>
          <w:instrText xml:space="preserve"> PAGEREF _Toc212460236 \h </w:instrText>
        </w:r>
        <w:r>
          <w:rPr>
            <w:webHidden/>
          </w:rPr>
        </w:r>
        <w:r>
          <w:rPr>
            <w:webHidden/>
          </w:rPr>
          <w:fldChar w:fldCharType="separate"/>
        </w:r>
        <w:r w:rsidR="00C435D1">
          <w:rPr>
            <w:webHidden/>
          </w:rPr>
          <w:t>3</w:t>
        </w:r>
        <w:r>
          <w:rPr>
            <w:webHidden/>
          </w:rPr>
          <w:fldChar w:fldCharType="end"/>
        </w:r>
      </w:hyperlink>
    </w:p>
    <w:p w14:paraId="2D57205B" w14:textId="40D46C9F"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37" w:history="1">
        <w:r w:rsidRPr="002B2E48">
          <w:rPr>
            <w:rStyle w:val="Hyperlink"/>
          </w:rPr>
          <w:t>3.1.2 Our Understanding of the Consortium’s Ask</w:t>
        </w:r>
        <w:r>
          <w:rPr>
            <w:webHidden/>
          </w:rPr>
          <w:tab/>
        </w:r>
        <w:r>
          <w:rPr>
            <w:webHidden/>
          </w:rPr>
          <w:fldChar w:fldCharType="begin"/>
        </w:r>
        <w:r>
          <w:rPr>
            <w:webHidden/>
          </w:rPr>
          <w:instrText xml:space="preserve"> PAGEREF _Toc212460237 \h </w:instrText>
        </w:r>
        <w:r>
          <w:rPr>
            <w:webHidden/>
          </w:rPr>
        </w:r>
        <w:r>
          <w:rPr>
            <w:webHidden/>
          </w:rPr>
          <w:fldChar w:fldCharType="separate"/>
        </w:r>
        <w:r w:rsidR="00C435D1">
          <w:rPr>
            <w:webHidden/>
          </w:rPr>
          <w:t>3</w:t>
        </w:r>
        <w:r>
          <w:rPr>
            <w:webHidden/>
          </w:rPr>
          <w:fldChar w:fldCharType="end"/>
        </w:r>
      </w:hyperlink>
    </w:p>
    <w:p w14:paraId="028104A0" w14:textId="36FA3282"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38" w:history="1">
        <w:r w:rsidRPr="002B2E48">
          <w:rPr>
            <w:rStyle w:val="Hyperlink"/>
          </w:rPr>
          <w:t>3.1.3 Our Value Proposition</w:t>
        </w:r>
        <w:r>
          <w:rPr>
            <w:webHidden/>
          </w:rPr>
          <w:tab/>
        </w:r>
        <w:r>
          <w:rPr>
            <w:webHidden/>
          </w:rPr>
          <w:fldChar w:fldCharType="begin"/>
        </w:r>
        <w:r>
          <w:rPr>
            <w:webHidden/>
          </w:rPr>
          <w:instrText xml:space="preserve"> PAGEREF _Toc212460238 \h </w:instrText>
        </w:r>
        <w:r>
          <w:rPr>
            <w:webHidden/>
          </w:rPr>
        </w:r>
        <w:r>
          <w:rPr>
            <w:webHidden/>
          </w:rPr>
          <w:fldChar w:fldCharType="separate"/>
        </w:r>
        <w:r w:rsidR="00C435D1">
          <w:rPr>
            <w:webHidden/>
          </w:rPr>
          <w:t>4</w:t>
        </w:r>
        <w:r>
          <w:rPr>
            <w:webHidden/>
          </w:rPr>
          <w:fldChar w:fldCharType="end"/>
        </w:r>
      </w:hyperlink>
    </w:p>
    <w:p w14:paraId="2A9B1F21" w14:textId="6F23FF3D"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39" w:history="1">
        <w:r w:rsidRPr="002B2E48">
          <w:rPr>
            <w:rStyle w:val="Hyperlink"/>
            <w:rFonts w:eastAsia="IBM Plex Sans"/>
          </w:rPr>
          <w:t>3.1.4 Strategic Partnership for CalSAWS Governance and Oversight</w:t>
        </w:r>
        <w:r>
          <w:rPr>
            <w:webHidden/>
          </w:rPr>
          <w:tab/>
        </w:r>
        <w:r>
          <w:rPr>
            <w:webHidden/>
          </w:rPr>
          <w:fldChar w:fldCharType="begin"/>
        </w:r>
        <w:r>
          <w:rPr>
            <w:webHidden/>
          </w:rPr>
          <w:instrText xml:space="preserve"> PAGEREF _Toc212460239 \h </w:instrText>
        </w:r>
        <w:r>
          <w:rPr>
            <w:webHidden/>
          </w:rPr>
        </w:r>
        <w:r>
          <w:rPr>
            <w:webHidden/>
          </w:rPr>
          <w:fldChar w:fldCharType="separate"/>
        </w:r>
        <w:r w:rsidR="00C435D1">
          <w:rPr>
            <w:webHidden/>
          </w:rPr>
          <w:t>5</w:t>
        </w:r>
        <w:r>
          <w:rPr>
            <w:webHidden/>
          </w:rPr>
          <w:fldChar w:fldCharType="end"/>
        </w:r>
      </w:hyperlink>
    </w:p>
    <w:p w14:paraId="1C0606E4" w14:textId="4E9A5F6E"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40" w:history="1">
        <w:r w:rsidRPr="002B2E48">
          <w:rPr>
            <w:rStyle w:val="Hyperlink"/>
            <w:rFonts w:eastAsia="IBM Plex Sans"/>
          </w:rPr>
          <w:t>3.1.5 IBM Staffing Strategy for CalSAWS</w:t>
        </w:r>
        <w:r>
          <w:rPr>
            <w:webHidden/>
          </w:rPr>
          <w:tab/>
        </w:r>
        <w:r>
          <w:rPr>
            <w:webHidden/>
          </w:rPr>
          <w:fldChar w:fldCharType="begin"/>
        </w:r>
        <w:r>
          <w:rPr>
            <w:webHidden/>
          </w:rPr>
          <w:instrText xml:space="preserve"> PAGEREF _Toc212460240 \h </w:instrText>
        </w:r>
        <w:r>
          <w:rPr>
            <w:webHidden/>
          </w:rPr>
        </w:r>
        <w:r>
          <w:rPr>
            <w:webHidden/>
          </w:rPr>
          <w:fldChar w:fldCharType="separate"/>
        </w:r>
        <w:r w:rsidR="00C435D1">
          <w:rPr>
            <w:webHidden/>
          </w:rPr>
          <w:t>6</w:t>
        </w:r>
        <w:r>
          <w:rPr>
            <w:webHidden/>
          </w:rPr>
          <w:fldChar w:fldCharType="end"/>
        </w:r>
      </w:hyperlink>
    </w:p>
    <w:p w14:paraId="2E431167" w14:textId="630D7C82"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41" w:history="1">
        <w:r w:rsidRPr="002B2E48">
          <w:rPr>
            <w:rStyle w:val="Hyperlink"/>
          </w:rPr>
          <w:t>3.1.6 Surge Staffing for Legislative and Technology Changes</w:t>
        </w:r>
        <w:r>
          <w:rPr>
            <w:webHidden/>
          </w:rPr>
          <w:tab/>
        </w:r>
        <w:r>
          <w:rPr>
            <w:webHidden/>
          </w:rPr>
          <w:fldChar w:fldCharType="begin"/>
        </w:r>
        <w:r>
          <w:rPr>
            <w:webHidden/>
          </w:rPr>
          <w:instrText xml:space="preserve"> PAGEREF _Toc212460241 \h </w:instrText>
        </w:r>
        <w:r>
          <w:rPr>
            <w:webHidden/>
          </w:rPr>
        </w:r>
        <w:r>
          <w:rPr>
            <w:webHidden/>
          </w:rPr>
          <w:fldChar w:fldCharType="separate"/>
        </w:r>
        <w:r w:rsidR="00C435D1">
          <w:rPr>
            <w:webHidden/>
          </w:rPr>
          <w:t>15</w:t>
        </w:r>
        <w:r>
          <w:rPr>
            <w:webHidden/>
          </w:rPr>
          <w:fldChar w:fldCharType="end"/>
        </w:r>
      </w:hyperlink>
    </w:p>
    <w:p w14:paraId="5DFF5536" w14:textId="04BECA9D"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42" w:history="1">
        <w:r w:rsidRPr="002B2E48">
          <w:rPr>
            <w:rStyle w:val="Hyperlink"/>
          </w:rPr>
          <w:t>3.1.7 Productivity Levers and Year-over-Year Efficiency</w:t>
        </w:r>
        <w:r>
          <w:rPr>
            <w:webHidden/>
          </w:rPr>
          <w:tab/>
        </w:r>
        <w:r>
          <w:rPr>
            <w:webHidden/>
          </w:rPr>
          <w:fldChar w:fldCharType="begin"/>
        </w:r>
        <w:r>
          <w:rPr>
            <w:webHidden/>
          </w:rPr>
          <w:instrText xml:space="preserve"> PAGEREF _Toc212460242 \h </w:instrText>
        </w:r>
        <w:r>
          <w:rPr>
            <w:webHidden/>
          </w:rPr>
        </w:r>
        <w:r>
          <w:rPr>
            <w:webHidden/>
          </w:rPr>
          <w:fldChar w:fldCharType="separate"/>
        </w:r>
        <w:r w:rsidR="00C435D1">
          <w:rPr>
            <w:webHidden/>
          </w:rPr>
          <w:t>15</w:t>
        </w:r>
        <w:r>
          <w:rPr>
            <w:webHidden/>
          </w:rPr>
          <w:fldChar w:fldCharType="end"/>
        </w:r>
      </w:hyperlink>
    </w:p>
    <w:p w14:paraId="2774ECAF" w14:textId="225E4491"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43" w:history="1">
        <w:r w:rsidRPr="002B2E48">
          <w:rPr>
            <w:rStyle w:val="Hyperlink"/>
          </w:rPr>
          <w:t>3.1.8 Knowledge Continuity and Low Turnover</w:t>
        </w:r>
        <w:r>
          <w:rPr>
            <w:webHidden/>
          </w:rPr>
          <w:tab/>
        </w:r>
        <w:r>
          <w:rPr>
            <w:webHidden/>
          </w:rPr>
          <w:fldChar w:fldCharType="begin"/>
        </w:r>
        <w:r>
          <w:rPr>
            <w:webHidden/>
          </w:rPr>
          <w:instrText xml:space="preserve"> PAGEREF _Toc212460243 \h </w:instrText>
        </w:r>
        <w:r>
          <w:rPr>
            <w:webHidden/>
          </w:rPr>
        </w:r>
        <w:r>
          <w:rPr>
            <w:webHidden/>
          </w:rPr>
          <w:fldChar w:fldCharType="separate"/>
        </w:r>
        <w:r w:rsidR="00C435D1">
          <w:rPr>
            <w:webHidden/>
          </w:rPr>
          <w:t>17</w:t>
        </w:r>
        <w:r>
          <w:rPr>
            <w:webHidden/>
          </w:rPr>
          <w:fldChar w:fldCharType="end"/>
        </w:r>
      </w:hyperlink>
    </w:p>
    <w:p w14:paraId="4BA8B6E9" w14:textId="6561C9D8" w:rsidR="00BD5582" w:rsidRDefault="00BD5582">
      <w:pPr>
        <w:pStyle w:val="TOC3"/>
        <w:rPr>
          <w:rFonts w:asciiTheme="minorHAnsi" w:eastAsiaTheme="minorEastAsia" w:hAnsiTheme="minorHAnsi" w:cstheme="minorBidi"/>
          <w:kern w:val="2"/>
          <w:sz w:val="24"/>
          <w:szCs w:val="24"/>
          <w:lang w:val="en-US" w:eastAsia="en-US"/>
          <w14:ligatures w14:val="standardContextual"/>
        </w:rPr>
      </w:pPr>
      <w:hyperlink w:anchor="_Toc212460244" w:history="1">
        <w:r w:rsidRPr="002B2E48">
          <w:rPr>
            <w:rStyle w:val="Hyperlink"/>
          </w:rPr>
          <w:t>3.1.9 Continuous Learning and Certifications</w:t>
        </w:r>
        <w:r>
          <w:rPr>
            <w:webHidden/>
          </w:rPr>
          <w:tab/>
        </w:r>
        <w:r>
          <w:rPr>
            <w:webHidden/>
          </w:rPr>
          <w:fldChar w:fldCharType="begin"/>
        </w:r>
        <w:r>
          <w:rPr>
            <w:webHidden/>
          </w:rPr>
          <w:instrText xml:space="preserve"> PAGEREF _Toc212460244 \h </w:instrText>
        </w:r>
        <w:r>
          <w:rPr>
            <w:webHidden/>
          </w:rPr>
        </w:r>
        <w:r>
          <w:rPr>
            <w:webHidden/>
          </w:rPr>
          <w:fldChar w:fldCharType="separate"/>
        </w:r>
        <w:r w:rsidR="00C435D1">
          <w:rPr>
            <w:webHidden/>
          </w:rPr>
          <w:t>18</w:t>
        </w:r>
        <w:r>
          <w:rPr>
            <w:webHidden/>
          </w:rPr>
          <w:fldChar w:fldCharType="end"/>
        </w:r>
      </w:hyperlink>
    </w:p>
    <w:p w14:paraId="227DF179" w14:textId="7549571D" w:rsidR="00BD5582" w:rsidRDefault="00BD5582">
      <w:pPr>
        <w:pStyle w:val="TOC3"/>
        <w:rPr>
          <w:rStyle w:val="Hyperlink"/>
        </w:rPr>
      </w:pPr>
      <w:hyperlink w:anchor="_Toc212460245" w:history="1">
        <w:r w:rsidRPr="002B2E48">
          <w:rPr>
            <w:rStyle w:val="Hyperlink"/>
          </w:rPr>
          <w:t>3.1.10 Outcome and Strategic Value</w:t>
        </w:r>
        <w:r>
          <w:rPr>
            <w:webHidden/>
          </w:rPr>
          <w:tab/>
        </w:r>
        <w:r>
          <w:rPr>
            <w:webHidden/>
          </w:rPr>
          <w:fldChar w:fldCharType="begin"/>
        </w:r>
        <w:r>
          <w:rPr>
            <w:webHidden/>
          </w:rPr>
          <w:instrText xml:space="preserve"> PAGEREF _Toc212460245 \h </w:instrText>
        </w:r>
        <w:r>
          <w:rPr>
            <w:webHidden/>
          </w:rPr>
        </w:r>
        <w:r>
          <w:rPr>
            <w:webHidden/>
          </w:rPr>
          <w:fldChar w:fldCharType="separate"/>
        </w:r>
        <w:r w:rsidR="00C435D1">
          <w:rPr>
            <w:webHidden/>
          </w:rPr>
          <w:t>27</w:t>
        </w:r>
        <w:r>
          <w:rPr>
            <w:webHidden/>
          </w:rPr>
          <w:fldChar w:fldCharType="end"/>
        </w:r>
      </w:hyperlink>
    </w:p>
    <w:p w14:paraId="254C8A8B" w14:textId="77777777" w:rsidR="00DF30B6" w:rsidRDefault="00DF30B6">
      <w:pPr>
        <w:pStyle w:val="TOC3"/>
        <w:rPr>
          <w:rFonts w:asciiTheme="minorHAnsi" w:eastAsiaTheme="minorEastAsia" w:hAnsiTheme="minorHAnsi" w:cstheme="minorBidi"/>
          <w:kern w:val="2"/>
          <w:sz w:val="24"/>
          <w:szCs w:val="24"/>
          <w:lang w:val="en-US" w:eastAsia="en-US"/>
          <w14:ligatures w14:val="standardContextual"/>
        </w:rPr>
      </w:pPr>
    </w:p>
    <w:p w14:paraId="54A566DA" w14:textId="29649F41" w:rsidR="00BD5582" w:rsidRDefault="00BD5582">
      <w:pPr>
        <w:pStyle w:val="TOC2"/>
        <w:rPr>
          <w:rFonts w:asciiTheme="minorHAnsi" w:eastAsiaTheme="minorEastAsia" w:hAnsiTheme="minorHAnsi" w:cstheme="minorBidi"/>
          <w:kern w:val="2"/>
          <w:sz w:val="24"/>
          <w:szCs w:val="24"/>
          <w:lang w:eastAsia="en-US"/>
          <w14:ligatures w14:val="standardContextual"/>
        </w:rPr>
      </w:pPr>
      <w:hyperlink w:anchor="_Toc212460246" w:history="1">
        <w:r w:rsidRPr="002B2E48">
          <w:rPr>
            <w:rStyle w:val="Hyperlink"/>
          </w:rPr>
          <w:t>3.2</w:t>
        </w:r>
        <w:r>
          <w:rPr>
            <w:rFonts w:asciiTheme="minorHAnsi" w:eastAsiaTheme="minorEastAsia" w:hAnsiTheme="minorHAnsi" w:cstheme="minorBidi"/>
            <w:kern w:val="2"/>
            <w:sz w:val="24"/>
            <w:szCs w:val="24"/>
            <w:lang w:eastAsia="en-US"/>
            <w14:ligatures w14:val="standardContextual"/>
          </w:rPr>
          <w:tab/>
        </w:r>
        <w:r w:rsidRPr="002B2E48">
          <w:rPr>
            <w:rStyle w:val="Hyperlink"/>
          </w:rPr>
          <w:t>Staffing Experience Details</w:t>
        </w:r>
        <w:r>
          <w:rPr>
            <w:webHidden/>
          </w:rPr>
          <w:tab/>
        </w:r>
        <w:r>
          <w:rPr>
            <w:webHidden/>
          </w:rPr>
          <w:fldChar w:fldCharType="begin"/>
        </w:r>
        <w:r>
          <w:rPr>
            <w:webHidden/>
          </w:rPr>
          <w:instrText xml:space="preserve"> PAGEREF _Toc212460246 \h </w:instrText>
        </w:r>
        <w:r>
          <w:rPr>
            <w:webHidden/>
          </w:rPr>
        </w:r>
        <w:r>
          <w:rPr>
            <w:webHidden/>
          </w:rPr>
          <w:fldChar w:fldCharType="separate"/>
        </w:r>
        <w:r w:rsidR="00C435D1">
          <w:rPr>
            <w:webHidden/>
          </w:rPr>
          <w:t>27</w:t>
        </w:r>
        <w:r>
          <w:rPr>
            <w:webHidden/>
          </w:rPr>
          <w:fldChar w:fldCharType="end"/>
        </w:r>
      </w:hyperlink>
    </w:p>
    <w:p w14:paraId="7428AD0A" w14:textId="6867A65D" w:rsidR="00CB3659" w:rsidRDefault="00D41F62" w:rsidP="00A56FE9">
      <w:pPr>
        <w:pStyle w:val="CS-IBMResponseText"/>
      </w:pPr>
      <w:r>
        <w:rPr>
          <w:rFonts w:ascii="Arial Bold" w:hAnsi="Arial Bold"/>
          <w:noProof/>
          <w:color w:val="106288"/>
          <w:szCs w:val="24"/>
        </w:rPr>
        <w:fldChar w:fldCharType="end"/>
      </w:r>
    </w:p>
    <w:p w14:paraId="57834401" w14:textId="77777777" w:rsidR="008C133D" w:rsidRDefault="008C133D" w:rsidP="00A56FE9">
      <w:pPr>
        <w:pStyle w:val="CS-IBMResponseText"/>
      </w:pPr>
    </w:p>
    <w:p w14:paraId="61D4BF71" w14:textId="77777777" w:rsidR="008C133D" w:rsidRDefault="008C133D" w:rsidP="00A56FE9">
      <w:pPr>
        <w:pStyle w:val="CS-IBMResponseText"/>
      </w:pPr>
    </w:p>
    <w:p w14:paraId="39C12D2A" w14:textId="77777777" w:rsidR="000813AF" w:rsidRDefault="000813AF" w:rsidP="00A56FE9">
      <w:pPr>
        <w:pStyle w:val="CS-IBMResponseText"/>
      </w:pPr>
      <w:r>
        <w:br w:type="page"/>
      </w:r>
    </w:p>
    <w:p w14:paraId="42EE794D" w14:textId="5D71CBB3" w:rsidR="00CB3659" w:rsidRPr="006A4B60" w:rsidRDefault="00D23B44" w:rsidP="002D4739">
      <w:pPr>
        <w:pStyle w:val="CS-IBMTOCforTOCTitleonly"/>
        <w:rPr>
          <w:rFonts w:ascii="Century Gothic" w:hAnsi="Century Gothic"/>
        </w:rPr>
      </w:pPr>
      <w:r w:rsidRPr="006A4B60">
        <w:rPr>
          <w:rFonts w:ascii="Century Gothic" w:hAnsi="Century Gothic"/>
        </w:rPr>
        <w:lastRenderedPageBreak/>
        <w:t>Table of Figures</w:t>
      </w:r>
      <w:r w:rsidR="002F6ADD">
        <w:rPr>
          <w:rFonts w:ascii="Century Gothic" w:hAnsi="Century Gothic"/>
        </w:rPr>
        <w:br/>
      </w:r>
    </w:p>
    <w:p w14:paraId="52C8F42F" w14:textId="1973DF6F"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r>
        <w:fldChar w:fldCharType="begin"/>
      </w:r>
      <w:r>
        <w:instrText xml:space="preserve"> TOC \h \z \c "Figure 3.1.1" </w:instrText>
      </w:r>
      <w:r>
        <w:fldChar w:fldCharType="separate"/>
      </w:r>
      <w:hyperlink w:anchor="_Toc213064430" w:history="1">
        <w:r w:rsidRPr="001D6ACC">
          <w:rPr>
            <w:rStyle w:val="Hyperlink"/>
            <w:noProof/>
          </w:rPr>
          <w:t>Figure 3.1.1 1 IBM Quality Engineering Services</w:t>
        </w:r>
        <w:r>
          <w:rPr>
            <w:noProof/>
            <w:webHidden/>
          </w:rPr>
          <w:tab/>
        </w:r>
        <w:r>
          <w:rPr>
            <w:noProof/>
            <w:webHidden/>
          </w:rPr>
          <w:fldChar w:fldCharType="begin"/>
        </w:r>
        <w:r>
          <w:rPr>
            <w:noProof/>
            <w:webHidden/>
          </w:rPr>
          <w:instrText xml:space="preserve"> PAGEREF _Toc213064430 \h </w:instrText>
        </w:r>
        <w:r>
          <w:rPr>
            <w:noProof/>
            <w:webHidden/>
          </w:rPr>
        </w:r>
        <w:r>
          <w:rPr>
            <w:noProof/>
            <w:webHidden/>
          </w:rPr>
          <w:fldChar w:fldCharType="separate"/>
        </w:r>
        <w:r>
          <w:rPr>
            <w:noProof/>
            <w:webHidden/>
          </w:rPr>
          <w:t>2</w:t>
        </w:r>
        <w:r>
          <w:rPr>
            <w:noProof/>
            <w:webHidden/>
          </w:rPr>
          <w:fldChar w:fldCharType="end"/>
        </w:r>
      </w:hyperlink>
    </w:p>
    <w:p w14:paraId="024C8C4A" w14:textId="37F4A34F"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431" w:history="1">
        <w:r w:rsidRPr="001D6ACC">
          <w:rPr>
            <w:rStyle w:val="Hyperlink"/>
            <w:noProof/>
          </w:rPr>
          <w:t>Figure 3.1.1 2 IBM Quality Engineering Services Overview</w:t>
        </w:r>
        <w:r>
          <w:rPr>
            <w:noProof/>
            <w:webHidden/>
          </w:rPr>
          <w:tab/>
        </w:r>
        <w:r>
          <w:rPr>
            <w:noProof/>
            <w:webHidden/>
          </w:rPr>
          <w:fldChar w:fldCharType="begin"/>
        </w:r>
        <w:r>
          <w:rPr>
            <w:noProof/>
            <w:webHidden/>
          </w:rPr>
          <w:instrText xml:space="preserve"> PAGEREF _Toc213064431 \h </w:instrText>
        </w:r>
        <w:r>
          <w:rPr>
            <w:noProof/>
            <w:webHidden/>
          </w:rPr>
        </w:r>
        <w:r>
          <w:rPr>
            <w:noProof/>
            <w:webHidden/>
          </w:rPr>
          <w:fldChar w:fldCharType="separate"/>
        </w:r>
        <w:r>
          <w:rPr>
            <w:noProof/>
            <w:webHidden/>
          </w:rPr>
          <w:t>6</w:t>
        </w:r>
        <w:r>
          <w:rPr>
            <w:noProof/>
            <w:webHidden/>
          </w:rPr>
          <w:fldChar w:fldCharType="end"/>
        </w:r>
      </w:hyperlink>
    </w:p>
    <w:p w14:paraId="4DAEA4DC" w14:textId="45624DC7"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432" w:history="1">
        <w:r w:rsidRPr="001D6ACC">
          <w:rPr>
            <w:rStyle w:val="Hyperlink"/>
            <w:noProof/>
          </w:rPr>
          <w:t>Figure 3.1.1 3 Proposed Organization Chart</w:t>
        </w:r>
        <w:r>
          <w:rPr>
            <w:noProof/>
            <w:webHidden/>
          </w:rPr>
          <w:tab/>
        </w:r>
        <w:r>
          <w:rPr>
            <w:noProof/>
            <w:webHidden/>
          </w:rPr>
          <w:fldChar w:fldCharType="begin"/>
        </w:r>
        <w:r>
          <w:rPr>
            <w:noProof/>
            <w:webHidden/>
          </w:rPr>
          <w:instrText xml:space="preserve"> PAGEREF _Toc213064432 \h </w:instrText>
        </w:r>
        <w:r>
          <w:rPr>
            <w:noProof/>
            <w:webHidden/>
          </w:rPr>
        </w:r>
        <w:r>
          <w:rPr>
            <w:noProof/>
            <w:webHidden/>
          </w:rPr>
          <w:fldChar w:fldCharType="separate"/>
        </w:r>
        <w:r>
          <w:rPr>
            <w:noProof/>
            <w:webHidden/>
          </w:rPr>
          <w:t>12</w:t>
        </w:r>
        <w:r>
          <w:rPr>
            <w:noProof/>
            <w:webHidden/>
          </w:rPr>
          <w:fldChar w:fldCharType="end"/>
        </w:r>
      </w:hyperlink>
    </w:p>
    <w:p w14:paraId="3FF76BAF" w14:textId="51C55CA2"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433" w:history="1">
        <w:r w:rsidRPr="001D6ACC">
          <w:rPr>
            <w:rStyle w:val="Hyperlink"/>
            <w:noProof/>
          </w:rPr>
          <w:t>Figure 3.1.1 4 Innovation Pod enable Quality Transformation</w:t>
        </w:r>
        <w:r>
          <w:rPr>
            <w:noProof/>
            <w:webHidden/>
          </w:rPr>
          <w:tab/>
        </w:r>
        <w:r>
          <w:rPr>
            <w:noProof/>
            <w:webHidden/>
          </w:rPr>
          <w:fldChar w:fldCharType="begin"/>
        </w:r>
        <w:r>
          <w:rPr>
            <w:noProof/>
            <w:webHidden/>
          </w:rPr>
          <w:instrText xml:space="preserve"> PAGEREF _Toc213064433 \h </w:instrText>
        </w:r>
        <w:r>
          <w:rPr>
            <w:noProof/>
            <w:webHidden/>
          </w:rPr>
        </w:r>
        <w:r>
          <w:rPr>
            <w:noProof/>
            <w:webHidden/>
          </w:rPr>
          <w:fldChar w:fldCharType="separate"/>
        </w:r>
        <w:r>
          <w:rPr>
            <w:noProof/>
            <w:webHidden/>
          </w:rPr>
          <w:t>13</w:t>
        </w:r>
        <w:r>
          <w:rPr>
            <w:noProof/>
            <w:webHidden/>
          </w:rPr>
          <w:fldChar w:fldCharType="end"/>
        </w:r>
      </w:hyperlink>
    </w:p>
    <w:p w14:paraId="11EAE84D" w14:textId="05CCA4EB"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434" w:history="1">
        <w:r w:rsidRPr="001D6ACC">
          <w:rPr>
            <w:rStyle w:val="Hyperlink"/>
            <w:noProof/>
          </w:rPr>
          <w:t>Figure 3.1.1 5 Year over year productivity gain</w:t>
        </w:r>
        <w:r>
          <w:rPr>
            <w:noProof/>
            <w:webHidden/>
          </w:rPr>
          <w:tab/>
        </w:r>
        <w:r>
          <w:rPr>
            <w:noProof/>
            <w:webHidden/>
          </w:rPr>
          <w:fldChar w:fldCharType="begin"/>
        </w:r>
        <w:r>
          <w:rPr>
            <w:noProof/>
            <w:webHidden/>
          </w:rPr>
          <w:instrText xml:space="preserve"> PAGEREF _Toc213064434 \h </w:instrText>
        </w:r>
        <w:r>
          <w:rPr>
            <w:noProof/>
            <w:webHidden/>
          </w:rPr>
        </w:r>
        <w:r>
          <w:rPr>
            <w:noProof/>
            <w:webHidden/>
          </w:rPr>
          <w:fldChar w:fldCharType="separate"/>
        </w:r>
        <w:r>
          <w:rPr>
            <w:noProof/>
            <w:webHidden/>
          </w:rPr>
          <w:t>16</w:t>
        </w:r>
        <w:r>
          <w:rPr>
            <w:noProof/>
            <w:webHidden/>
          </w:rPr>
          <w:fldChar w:fldCharType="end"/>
        </w:r>
      </w:hyperlink>
    </w:p>
    <w:p w14:paraId="7BDE8FA3" w14:textId="176B387F"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435" w:history="1">
        <w:r w:rsidRPr="001D6ACC">
          <w:rPr>
            <w:rStyle w:val="Hyperlink"/>
            <w:noProof/>
          </w:rPr>
          <w:t>Figure 3.1.1 6 QA Services Team Org Chart</w:t>
        </w:r>
        <w:r>
          <w:rPr>
            <w:noProof/>
            <w:webHidden/>
          </w:rPr>
          <w:tab/>
        </w:r>
        <w:r>
          <w:rPr>
            <w:noProof/>
            <w:webHidden/>
          </w:rPr>
          <w:fldChar w:fldCharType="begin"/>
        </w:r>
        <w:r>
          <w:rPr>
            <w:noProof/>
            <w:webHidden/>
          </w:rPr>
          <w:instrText xml:space="preserve"> PAGEREF _Toc213064435 \h </w:instrText>
        </w:r>
        <w:r>
          <w:rPr>
            <w:noProof/>
            <w:webHidden/>
          </w:rPr>
        </w:r>
        <w:r>
          <w:rPr>
            <w:noProof/>
            <w:webHidden/>
          </w:rPr>
          <w:fldChar w:fldCharType="separate"/>
        </w:r>
        <w:r>
          <w:rPr>
            <w:noProof/>
            <w:webHidden/>
          </w:rPr>
          <w:t>21</w:t>
        </w:r>
        <w:r>
          <w:rPr>
            <w:noProof/>
            <w:webHidden/>
          </w:rPr>
          <w:fldChar w:fldCharType="end"/>
        </w:r>
      </w:hyperlink>
    </w:p>
    <w:p w14:paraId="6695CFC7" w14:textId="24394CDD" w:rsidR="002F6ADD" w:rsidRDefault="00570880" w:rsidP="002F6ADD">
      <w:pPr>
        <w:pStyle w:val="CS-IBMTOCforTOCTitleonly"/>
        <w:rPr>
          <w:rFonts w:ascii="Century Gothic" w:hAnsi="Century Gothic"/>
        </w:rPr>
      </w:pPr>
      <w:r>
        <w:rPr>
          <w:rFonts w:ascii="Century Gothic" w:hAnsi="Century Gothic"/>
        </w:rPr>
        <w:fldChar w:fldCharType="end"/>
      </w:r>
    </w:p>
    <w:p w14:paraId="190505F3" w14:textId="71A08783" w:rsidR="002F6ADD" w:rsidRDefault="002F6ADD" w:rsidP="002F6ADD">
      <w:pPr>
        <w:pStyle w:val="CS-IBMTOCforTOCTitleonly"/>
        <w:rPr>
          <w:rFonts w:ascii="Century Gothic" w:hAnsi="Century Gothic"/>
        </w:rPr>
      </w:pPr>
      <w:r w:rsidRPr="3997A780">
        <w:rPr>
          <w:rFonts w:ascii="Century Gothic" w:hAnsi="Century Gothic"/>
        </w:rPr>
        <w:t>Table of Tables</w:t>
      </w:r>
      <w:r>
        <w:rPr>
          <w:rFonts w:ascii="Century Gothic" w:hAnsi="Century Gothic"/>
        </w:rPr>
        <w:br/>
      </w:r>
    </w:p>
    <w:p w14:paraId="24B14984" w14:textId="4791BFB8" w:rsidR="00570880" w:rsidRDefault="002F6ADD">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r>
        <w:fldChar w:fldCharType="begin"/>
      </w:r>
      <w:r>
        <w:instrText xml:space="preserve"> TOC \h \z \c "Table 3.1.1." </w:instrText>
      </w:r>
      <w:r>
        <w:fldChar w:fldCharType="separate"/>
      </w:r>
      <w:hyperlink w:anchor="_Toc213064568" w:history="1">
        <w:r w:rsidR="00570880" w:rsidRPr="00215798">
          <w:rPr>
            <w:rStyle w:val="Hyperlink"/>
            <w:noProof/>
          </w:rPr>
          <w:t>Table 3.1.1. 1 A Unified Team of Global and Local Strengths</w:t>
        </w:r>
        <w:r w:rsidR="00570880">
          <w:rPr>
            <w:noProof/>
            <w:webHidden/>
          </w:rPr>
          <w:tab/>
        </w:r>
        <w:r w:rsidR="00570880">
          <w:rPr>
            <w:noProof/>
            <w:webHidden/>
          </w:rPr>
          <w:fldChar w:fldCharType="begin"/>
        </w:r>
        <w:r w:rsidR="00570880">
          <w:rPr>
            <w:noProof/>
            <w:webHidden/>
          </w:rPr>
          <w:instrText xml:space="preserve"> PAGEREF _Toc213064568 \h </w:instrText>
        </w:r>
        <w:r w:rsidR="00570880">
          <w:rPr>
            <w:noProof/>
            <w:webHidden/>
          </w:rPr>
        </w:r>
        <w:r w:rsidR="00570880">
          <w:rPr>
            <w:noProof/>
            <w:webHidden/>
          </w:rPr>
          <w:fldChar w:fldCharType="separate"/>
        </w:r>
        <w:r w:rsidR="00570880">
          <w:rPr>
            <w:noProof/>
            <w:webHidden/>
          </w:rPr>
          <w:t>7</w:t>
        </w:r>
        <w:r w:rsidR="00570880">
          <w:rPr>
            <w:noProof/>
            <w:webHidden/>
          </w:rPr>
          <w:fldChar w:fldCharType="end"/>
        </w:r>
      </w:hyperlink>
    </w:p>
    <w:p w14:paraId="405E175B" w14:textId="4669F192"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569" w:history="1">
        <w:r w:rsidRPr="00215798">
          <w:rPr>
            <w:rStyle w:val="Hyperlink"/>
            <w:noProof/>
          </w:rPr>
          <w:t>Table 3.1.1. 2 Key Staff Roles and Responsibilities</w:t>
        </w:r>
        <w:r>
          <w:rPr>
            <w:noProof/>
            <w:webHidden/>
          </w:rPr>
          <w:tab/>
        </w:r>
        <w:r>
          <w:rPr>
            <w:noProof/>
            <w:webHidden/>
          </w:rPr>
          <w:fldChar w:fldCharType="begin"/>
        </w:r>
        <w:r>
          <w:rPr>
            <w:noProof/>
            <w:webHidden/>
          </w:rPr>
          <w:instrText xml:space="preserve"> PAGEREF _Toc213064569 \h </w:instrText>
        </w:r>
        <w:r>
          <w:rPr>
            <w:noProof/>
            <w:webHidden/>
          </w:rPr>
        </w:r>
        <w:r>
          <w:rPr>
            <w:noProof/>
            <w:webHidden/>
          </w:rPr>
          <w:fldChar w:fldCharType="separate"/>
        </w:r>
        <w:r>
          <w:rPr>
            <w:noProof/>
            <w:webHidden/>
          </w:rPr>
          <w:t>8</w:t>
        </w:r>
        <w:r>
          <w:rPr>
            <w:noProof/>
            <w:webHidden/>
          </w:rPr>
          <w:fldChar w:fldCharType="end"/>
        </w:r>
      </w:hyperlink>
    </w:p>
    <w:p w14:paraId="74B2E60E" w14:textId="7029B5E3"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570" w:history="1">
        <w:r w:rsidRPr="00215798">
          <w:rPr>
            <w:rStyle w:val="Hyperlink"/>
            <w:noProof/>
          </w:rPr>
          <w:t>Table 3.1.1. 3 QA Roles and Responsibilities</w:t>
        </w:r>
        <w:r>
          <w:rPr>
            <w:noProof/>
            <w:webHidden/>
          </w:rPr>
          <w:tab/>
        </w:r>
        <w:r>
          <w:rPr>
            <w:noProof/>
            <w:webHidden/>
          </w:rPr>
          <w:fldChar w:fldCharType="begin"/>
        </w:r>
        <w:r>
          <w:rPr>
            <w:noProof/>
            <w:webHidden/>
          </w:rPr>
          <w:instrText xml:space="preserve"> PAGEREF _Toc213064570 \h </w:instrText>
        </w:r>
        <w:r>
          <w:rPr>
            <w:noProof/>
            <w:webHidden/>
          </w:rPr>
        </w:r>
        <w:r>
          <w:rPr>
            <w:noProof/>
            <w:webHidden/>
          </w:rPr>
          <w:fldChar w:fldCharType="separate"/>
        </w:r>
        <w:r>
          <w:rPr>
            <w:noProof/>
            <w:webHidden/>
          </w:rPr>
          <w:t>21</w:t>
        </w:r>
        <w:r>
          <w:rPr>
            <w:noProof/>
            <w:webHidden/>
          </w:rPr>
          <w:fldChar w:fldCharType="end"/>
        </w:r>
      </w:hyperlink>
    </w:p>
    <w:p w14:paraId="0E30ABCA" w14:textId="5A1C5AEC"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571" w:history="1">
        <w:r w:rsidRPr="00215798">
          <w:rPr>
            <w:rStyle w:val="Hyperlink"/>
            <w:noProof/>
          </w:rPr>
          <w:t>Table 3.1.1. 4 RACI Matrix (Roles vs. Consortium QA Responsibilities)</w:t>
        </w:r>
        <w:r>
          <w:rPr>
            <w:noProof/>
            <w:webHidden/>
          </w:rPr>
          <w:tab/>
        </w:r>
        <w:r>
          <w:rPr>
            <w:noProof/>
            <w:webHidden/>
          </w:rPr>
          <w:fldChar w:fldCharType="begin"/>
        </w:r>
        <w:r>
          <w:rPr>
            <w:noProof/>
            <w:webHidden/>
          </w:rPr>
          <w:instrText xml:space="preserve"> PAGEREF _Toc213064571 \h </w:instrText>
        </w:r>
        <w:r>
          <w:rPr>
            <w:noProof/>
            <w:webHidden/>
          </w:rPr>
        </w:r>
        <w:r>
          <w:rPr>
            <w:noProof/>
            <w:webHidden/>
          </w:rPr>
          <w:fldChar w:fldCharType="separate"/>
        </w:r>
        <w:r>
          <w:rPr>
            <w:noProof/>
            <w:webHidden/>
          </w:rPr>
          <w:t>24</w:t>
        </w:r>
        <w:r>
          <w:rPr>
            <w:noProof/>
            <w:webHidden/>
          </w:rPr>
          <w:fldChar w:fldCharType="end"/>
        </w:r>
      </w:hyperlink>
    </w:p>
    <w:p w14:paraId="7C3B0BDE" w14:textId="7962D41D" w:rsidR="00570880" w:rsidRDefault="00570880">
      <w:pPr>
        <w:pStyle w:val="TableofFigures"/>
        <w:tabs>
          <w:tab w:val="right" w:leader="dot" w:pos="9350"/>
        </w:tabs>
        <w:rPr>
          <w:rFonts w:asciiTheme="minorHAnsi" w:eastAsiaTheme="minorEastAsia" w:hAnsiTheme="minorHAnsi" w:cstheme="minorBidi"/>
          <w:noProof/>
          <w:color w:val="auto"/>
          <w:kern w:val="2"/>
          <w:sz w:val="24"/>
          <w:szCs w:val="24"/>
          <w:lang w:eastAsia="ko-KR"/>
          <w14:ligatures w14:val="standardContextual"/>
        </w:rPr>
      </w:pPr>
      <w:hyperlink w:anchor="_Toc213064572" w:history="1">
        <w:r w:rsidRPr="00215798">
          <w:rPr>
            <w:rStyle w:val="Hyperlink"/>
            <w:noProof/>
          </w:rPr>
          <w:t>Table 3.1.1. 5 QA Requirement Matrix (Att 2)</w:t>
        </w:r>
        <w:r>
          <w:rPr>
            <w:noProof/>
            <w:webHidden/>
          </w:rPr>
          <w:tab/>
        </w:r>
        <w:r>
          <w:rPr>
            <w:noProof/>
            <w:webHidden/>
          </w:rPr>
          <w:fldChar w:fldCharType="begin"/>
        </w:r>
        <w:r>
          <w:rPr>
            <w:noProof/>
            <w:webHidden/>
          </w:rPr>
          <w:instrText xml:space="preserve"> PAGEREF _Toc213064572 \h </w:instrText>
        </w:r>
        <w:r>
          <w:rPr>
            <w:noProof/>
            <w:webHidden/>
          </w:rPr>
        </w:r>
        <w:r>
          <w:rPr>
            <w:noProof/>
            <w:webHidden/>
          </w:rPr>
          <w:fldChar w:fldCharType="separate"/>
        </w:r>
        <w:r>
          <w:rPr>
            <w:noProof/>
            <w:webHidden/>
          </w:rPr>
          <w:t>25</w:t>
        </w:r>
        <w:r>
          <w:rPr>
            <w:noProof/>
            <w:webHidden/>
          </w:rPr>
          <w:fldChar w:fldCharType="end"/>
        </w:r>
      </w:hyperlink>
    </w:p>
    <w:p w14:paraId="75054523" w14:textId="77777777" w:rsidR="00570880" w:rsidRDefault="002F6ADD" w:rsidP="00570880">
      <w:pPr>
        <w:pStyle w:val="TableofFigures"/>
        <w:tabs>
          <w:tab w:val="right" w:leader="dot" w:pos="9350"/>
        </w:tabs>
      </w:pPr>
      <w:r>
        <w:fldChar w:fldCharType="end"/>
      </w:r>
      <w:r w:rsidR="00570880">
        <w:t xml:space="preserve"> </w:t>
      </w:r>
    </w:p>
    <w:p w14:paraId="2674CDE7" w14:textId="240FC28A" w:rsidR="00B7431A" w:rsidRDefault="00B7431A" w:rsidP="00C25E9E"/>
    <w:p w14:paraId="6A0BDB2D" w14:textId="77777777" w:rsidR="00E6341D" w:rsidRPr="00E6341D" w:rsidRDefault="00E6341D" w:rsidP="00E6341D"/>
    <w:p w14:paraId="63E43964" w14:textId="77777777" w:rsidR="00E6341D" w:rsidRDefault="00E6341D" w:rsidP="00E6341D"/>
    <w:p w14:paraId="457AAEAF" w14:textId="77777777" w:rsidR="00D85D89" w:rsidRDefault="00D85D89" w:rsidP="00E6341D"/>
    <w:p w14:paraId="363FA0D0" w14:textId="77777777" w:rsidR="008C133D" w:rsidRDefault="008C133D" w:rsidP="00A56FE9">
      <w:pPr>
        <w:pStyle w:val="CS-IBMResponseText"/>
      </w:pPr>
    </w:p>
    <w:p w14:paraId="42090B8D" w14:textId="77777777" w:rsidR="008C133D" w:rsidRDefault="008C133D" w:rsidP="00A56FE9">
      <w:pPr>
        <w:pStyle w:val="CS-IBMResponseText"/>
      </w:pPr>
    </w:p>
    <w:p w14:paraId="700CFEB4" w14:textId="77777777" w:rsidR="008C133D" w:rsidRDefault="008C133D" w:rsidP="00A56FE9">
      <w:pPr>
        <w:pStyle w:val="CS-IBMResponseText"/>
      </w:pPr>
    </w:p>
    <w:p w14:paraId="3D944177" w14:textId="77777777" w:rsidR="008C133D" w:rsidRDefault="008C133D" w:rsidP="00A56FE9">
      <w:pPr>
        <w:pStyle w:val="CS-IBMResponseText"/>
      </w:pPr>
    </w:p>
    <w:p w14:paraId="7BA058A7" w14:textId="77777777" w:rsidR="008C133D" w:rsidRDefault="008C133D" w:rsidP="00A56FE9">
      <w:pPr>
        <w:pStyle w:val="CS-IBMResponseText"/>
      </w:pPr>
    </w:p>
    <w:p w14:paraId="51760A7C" w14:textId="77777777" w:rsidR="008C133D" w:rsidRPr="00E6341D" w:rsidRDefault="008C133D" w:rsidP="00A56FE9">
      <w:pPr>
        <w:pStyle w:val="CS-IBMResponseText"/>
      </w:pPr>
    </w:p>
    <w:p w14:paraId="387D0ECA" w14:textId="77777777" w:rsidR="00E6341D" w:rsidRDefault="00E6341D" w:rsidP="00E6341D"/>
    <w:p w14:paraId="2C82DEB1" w14:textId="77777777" w:rsidR="00405EF5" w:rsidRDefault="00405EF5" w:rsidP="00A56FE9">
      <w:pPr>
        <w:pStyle w:val="CS-IBMResponseText"/>
        <w:sectPr w:rsidR="00405EF5" w:rsidSect="00212026">
          <w:headerReference w:type="default" r:id="rId8"/>
          <w:footerReference w:type="default" r:id="rId9"/>
          <w:pgSz w:w="12240" w:h="15840" w:code="1"/>
          <w:pgMar w:top="1323" w:right="1440" w:bottom="1197" w:left="1440" w:header="504" w:footer="423" w:gutter="0"/>
          <w:pgNumType w:fmt="lowerRoman" w:start="1"/>
          <w:cols w:space="708"/>
          <w:docGrid w:linePitch="360"/>
        </w:sectPr>
      </w:pPr>
      <w:bookmarkStart w:id="0" w:name="_Toc350169568"/>
    </w:p>
    <w:p w14:paraId="33A5F9C7" w14:textId="2E3B63B1" w:rsidR="00DC37F6" w:rsidRDefault="00B51EFD" w:rsidP="00F01F4E">
      <w:pPr>
        <w:pStyle w:val="Heading1"/>
      </w:pPr>
      <w:bookmarkStart w:id="1" w:name="_Toc212460234"/>
      <w:bookmarkEnd w:id="0"/>
      <w:r>
        <w:lastRenderedPageBreak/>
        <w:t>Staffing Approach</w:t>
      </w:r>
      <w:bookmarkEnd w:id="1"/>
    </w:p>
    <w:p w14:paraId="3E1F8544" w14:textId="67E95CAA" w:rsidR="00786B14" w:rsidRDefault="00786B14" w:rsidP="00786B14">
      <w:pPr>
        <w:pStyle w:val="Heading2"/>
      </w:pPr>
      <w:bookmarkStart w:id="2" w:name="_Toc212460235"/>
      <w:r>
        <w:t>Staffing Approach Narrative</w:t>
      </w:r>
      <w:bookmarkEnd w:id="2"/>
    </w:p>
    <w:p w14:paraId="5A485E63" w14:textId="77777777" w:rsidR="00786B14" w:rsidRDefault="00786B14" w:rsidP="00786B14">
      <w:pPr>
        <w:pStyle w:val="CS-RFPBodyText"/>
      </w:pPr>
      <w:r>
        <w:t>The Bidder shall provide a narrative describing the overall staffing approach to the QA Services team including responding to staffing Approach and Requirements contained</w:t>
      </w:r>
    </w:p>
    <w:p w14:paraId="583AB722" w14:textId="77777777" w:rsidR="00786B14" w:rsidRDefault="00786B14" w:rsidP="00786B14">
      <w:pPr>
        <w:pStyle w:val="CS-RFPBodyText"/>
      </w:pPr>
      <w:r>
        <w:t xml:space="preserve">in Section 5 – Requirements. The Bidder shall describe the criteria used to fill the Key Staff positions and should discuss the planned interaction between these individuals and Consortium’s Project staff in similar roles. The Bidder must include an organization chart displaying the relationships of the QA Services team and include the relationships of the QA Services team to the CalSAWS Project, Consortium and other Consortium Contractors. </w:t>
      </w:r>
      <w:r w:rsidRPr="002F71BB">
        <w:t>The narrative response for the Staffing Approach should not exceed 30 pages.</w:t>
      </w:r>
    </w:p>
    <w:p w14:paraId="49AEFCCC" w14:textId="77777777" w:rsidR="005A1814" w:rsidRDefault="005A1814" w:rsidP="00786B14">
      <w:pPr>
        <w:pStyle w:val="CS-RFPBodyText"/>
      </w:pPr>
    </w:p>
    <w:p w14:paraId="7DCE69E5" w14:textId="77777777" w:rsidR="00602BCB" w:rsidRPr="00DA0139" w:rsidRDefault="00602BCB" w:rsidP="00D526CA">
      <w:pPr>
        <w:pStyle w:val="CS-IBMResponseText"/>
      </w:pPr>
      <w:r w:rsidRPr="00DA0139">
        <w:t>The California Statewide Automated Welfare System (CalSAWS) represents one of the most complex human services technology ecosystems in the nation, serving all 58 counties and approximately 15 million of California’s 40 million residents.</w:t>
      </w:r>
    </w:p>
    <w:p w14:paraId="03BC88DF" w14:textId="77777777" w:rsidR="00602BCB" w:rsidRPr="00DA0139" w:rsidRDefault="00602BCB" w:rsidP="00D526CA">
      <w:pPr>
        <w:pStyle w:val="CS-IBMResponseText"/>
      </w:pPr>
      <w:r w:rsidRPr="00DA0139">
        <w:t>CalSAWS supports the delivery of multiple public assistance programs — including Medi-Cal (California’s Medicaid program), CalFRESH (California’s SNAP program), CalWORKs (California’s TANF program), General Assistance, Refugee Cash Assistance, Foster Care, and critical interfaces with CalHEERS (Covered California) and ensures that Federal, State, and local funding streams work in concert to support California’s most vulnerable residents.</w:t>
      </w:r>
    </w:p>
    <w:p w14:paraId="6C0AEC56" w14:textId="699EA5E5" w:rsidR="00602BCB" w:rsidRDefault="00602BCB" w:rsidP="00D526CA">
      <w:pPr>
        <w:pStyle w:val="CS-IBMResponseText"/>
      </w:pPr>
      <w:r w:rsidRPr="00DA0139">
        <w:t xml:space="preserve">The CalSAWS Consortium exists to provide governance, coordination, and system oversight </w:t>
      </w:r>
      <w:r w:rsidR="00E24517">
        <w:t xml:space="preserve">in partnership </w:t>
      </w:r>
      <w:r w:rsidR="00D57C92">
        <w:t xml:space="preserve">with </w:t>
      </w:r>
      <w:r w:rsidR="00E24517">
        <w:t>and support of</w:t>
      </w:r>
      <w:r w:rsidR="00E24517" w:rsidRPr="00DA0139">
        <w:t xml:space="preserve"> </w:t>
      </w:r>
      <w:r w:rsidRPr="00DA0139">
        <w:t>the 58 counties, enabling consistent service delivery while respecting local administration. This ecosystem integrates Federal mandates, State-level sponsorship and program management by the Department of Health Care Service (DHCS) and the Department of Social Services (CDSS), and county-level benefit administration into a unified system. Millions of Californians depend on the timely, accurate, and equitable delivery of benefits, and as such, the Consortium requires more than a vendor to provide QA staff. It needs a partner who understands the broader mission of the Health and Human Services (HHS) ecosystem — and who can deliver a staffing approach that is stable, flexible, innovative, and future-ready.</w:t>
      </w:r>
    </w:p>
    <w:p w14:paraId="4BE03F1D" w14:textId="27439182" w:rsidR="00677091" w:rsidRPr="00DA0139" w:rsidRDefault="00C45E22" w:rsidP="00D526CA">
      <w:pPr>
        <w:pStyle w:val="CS-IBMResponseText"/>
      </w:pPr>
      <w:r>
        <w:t xml:space="preserve">At the heart of every successful program lies the synergy of </w:t>
      </w:r>
      <w:r>
        <w:rPr>
          <w:rStyle w:val="Strong"/>
        </w:rPr>
        <w:t>skilled people, disciplined processes, and enabling technology</w:t>
      </w:r>
      <w:r>
        <w:t>. CalSAWS’ vision for quality outcomes depends not only on the expertise of its partners but on their ability to collaborate seamlessly across organizational boundaries. In a multi-vendor environment, true success is realized when all partners operate as one cohesive team—sharing accountability, insight, and a common commitment to excellence.</w:t>
      </w:r>
    </w:p>
    <w:p w14:paraId="375CBECC" w14:textId="77777777" w:rsidR="00A21B12" w:rsidRDefault="00A21B12" w:rsidP="00D526CA">
      <w:pPr>
        <w:pStyle w:val="CS-IBMResponseText"/>
        <w:rPr>
          <w:color w:val="000000"/>
          <w:szCs w:val="22"/>
        </w:rPr>
      </w:pPr>
    </w:p>
    <w:p w14:paraId="1CD6FFFE" w14:textId="77777777" w:rsidR="00E71367" w:rsidRDefault="00E71367" w:rsidP="00D526CA">
      <w:pPr>
        <w:pStyle w:val="CS-IBMResponseText"/>
        <w:rPr>
          <w:color w:val="000000"/>
          <w:szCs w:val="22"/>
        </w:rPr>
      </w:pPr>
    </w:p>
    <w:p w14:paraId="50ED3642" w14:textId="77777777" w:rsidR="00731A13" w:rsidRDefault="0000240F" w:rsidP="00731A13">
      <w:pPr>
        <w:pStyle w:val="CS-IBMResponseText"/>
        <w:keepNext/>
      </w:pPr>
      <w:r w:rsidRPr="0000240F">
        <w:rPr>
          <w:noProof/>
          <w:color w:val="000000"/>
          <w:szCs w:val="22"/>
        </w:rPr>
        <w:lastRenderedPageBreak/>
        <w:drawing>
          <wp:inline distT="0" distB="0" distL="0" distR="0" wp14:anchorId="038F41CA" wp14:editId="16806FE0">
            <wp:extent cx="5943600" cy="3799205"/>
            <wp:effectExtent l="0" t="0" r="0" b="0"/>
            <wp:docPr id="6941299" name="Picture 1" descr="A diagram of a company's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299" name="Picture 1" descr="A diagram of a company's company's company&#10;&#10;AI-generated content may be incorrect."/>
                    <pic:cNvPicPr/>
                  </pic:nvPicPr>
                  <pic:blipFill>
                    <a:blip r:embed="rId10"/>
                    <a:stretch>
                      <a:fillRect/>
                    </a:stretch>
                  </pic:blipFill>
                  <pic:spPr>
                    <a:xfrm>
                      <a:off x="0" y="0"/>
                      <a:ext cx="5943600" cy="3799205"/>
                    </a:xfrm>
                    <a:prstGeom prst="rect">
                      <a:avLst/>
                    </a:prstGeom>
                  </pic:spPr>
                </pic:pic>
              </a:graphicData>
            </a:graphic>
          </wp:inline>
        </w:drawing>
      </w:r>
    </w:p>
    <w:p w14:paraId="43AB1938" w14:textId="15C52B7F" w:rsidR="00E71367" w:rsidRDefault="00731A13" w:rsidP="00731A13">
      <w:pPr>
        <w:pStyle w:val="Caption"/>
        <w:jc w:val="center"/>
      </w:pPr>
      <w:bookmarkStart w:id="3" w:name="_Toc213064430"/>
      <w:r>
        <w:t xml:space="preserve">Figure 3.1.1 </w:t>
      </w:r>
      <w:r>
        <w:fldChar w:fldCharType="begin"/>
      </w:r>
      <w:r>
        <w:instrText xml:space="preserve"> SEQ Figure_3.1.1 \* ARABIC </w:instrText>
      </w:r>
      <w:r>
        <w:fldChar w:fldCharType="separate"/>
      </w:r>
      <w:r>
        <w:rPr>
          <w:noProof/>
        </w:rPr>
        <w:t>1</w:t>
      </w:r>
      <w:r>
        <w:fldChar w:fldCharType="end"/>
      </w:r>
      <w:r>
        <w:t xml:space="preserve"> IBM Quality Engineering Services</w:t>
      </w:r>
      <w:bookmarkEnd w:id="3"/>
    </w:p>
    <w:p w14:paraId="3B2457D3" w14:textId="064F2EB1" w:rsidR="00602BCB" w:rsidRPr="001446FC" w:rsidRDefault="00602BCB" w:rsidP="00D526CA">
      <w:pPr>
        <w:pStyle w:val="CS-IBMResponseText"/>
      </w:pPr>
      <w:r w:rsidRPr="00DA0139">
        <w:rPr>
          <w:rFonts w:eastAsia="Aptos"/>
        </w:rPr>
        <w:t xml:space="preserve">IBM is proud of its </w:t>
      </w:r>
      <w:r w:rsidR="00B66F0C">
        <w:rPr>
          <w:rFonts w:eastAsia="Aptos"/>
        </w:rPr>
        <w:t>successful engagements</w:t>
      </w:r>
      <w:r w:rsidR="00B66F0C" w:rsidRPr="00DA0139">
        <w:rPr>
          <w:rFonts w:eastAsia="Aptos"/>
        </w:rPr>
        <w:t xml:space="preserve"> </w:t>
      </w:r>
      <w:r w:rsidRPr="00DA0139">
        <w:rPr>
          <w:rFonts w:eastAsia="Aptos"/>
        </w:rPr>
        <w:t xml:space="preserve">in multi-vendor led projects within the State and Counties of California. IBM has achieved success by </w:t>
      </w:r>
      <w:r w:rsidR="003A4F92">
        <w:rPr>
          <w:rFonts w:eastAsia="Aptos"/>
        </w:rPr>
        <w:t xml:space="preserve">partnering with </w:t>
      </w:r>
      <w:r w:rsidR="006C5279">
        <w:rPr>
          <w:rFonts w:eastAsia="Aptos"/>
        </w:rPr>
        <w:t>our State and County clients</w:t>
      </w:r>
      <w:r w:rsidR="005B7676">
        <w:rPr>
          <w:rFonts w:eastAsia="Aptos"/>
        </w:rPr>
        <w:t xml:space="preserve"> and</w:t>
      </w:r>
      <w:r w:rsidR="006C5279">
        <w:rPr>
          <w:rFonts w:eastAsia="Aptos"/>
        </w:rPr>
        <w:t xml:space="preserve"> incumbent vendors within </w:t>
      </w:r>
      <w:r w:rsidR="00E047B3">
        <w:rPr>
          <w:rFonts w:eastAsia="Aptos"/>
        </w:rPr>
        <w:t>each engagement</w:t>
      </w:r>
      <w:r w:rsidR="005B7676">
        <w:rPr>
          <w:rFonts w:eastAsia="Aptos"/>
        </w:rPr>
        <w:t>,</w:t>
      </w:r>
      <w:r w:rsidR="00043633">
        <w:rPr>
          <w:rFonts w:eastAsia="Aptos"/>
        </w:rPr>
        <w:t xml:space="preserve"> </w:t>
      </w:r>
      <w:r w:rsidRPr="00DA0139">
        <w:rPr>
          <w:rFonts w:eastAsia="Aptos"/>
        </w:rPr>
        <w:t xml:space="preserve">meeting project goals and delivery, providing for public access, and improving operational efficiencies in our California engagements. As part of our commitment, IBM puts forward the most skilled and qualified individuals fit for the organization able to “hit the ground running on day one.” </w:t>
      </w:r>
    </w:p>
    <w:p w14:paraId="7C4A064D" w14:textId="061875EF" w:rsidR="00602BCB" w:rsidRPr="00DA0139" w:rsidRDefault="00602BCB" w:rsidP="00D526CA">
      <w:pPr>
        <w:pStyle w:val="CS-IBMResponseText"/>
        <w:rPr>
          <w:rFonts w:eastAsia="Aptos"/>
        </w:rPr>
      </w:pPr>
      <w:r w:rsidRPr="00DA0139">
        <w:rPr>
          <w:rFonts w:eastAsia="Aptos"/>
        </w:rPr>
        <w:t xml:space="preserve">For CalSAWS QA Services, IBM has proposed four key staff personnel with the right skillsets, </w:t>
      </w:r>
      <w:r w:rsidR="00974B4C">
        <w:rPr>
          <w:rFonts w:eastAsia="Aptos"/>
        </w:rPr>
        <w:t>experience</w:t>
      </w:r>
      <w:r w:rsidRPr="00DA0139">
        <w:rPr>
          <w:rFonts w:eastAsia="Aptos"/>
        </w:rPr>
        <w:t xml:space="preserve"> and knowledge of CalSAWS.</w:t>
      </w:r>
      <w:r w:rsidR="00C15E3E">
        <w:rPr>
          <w:rFonts w:eastAsia="Aptos"/>
        </w:rPr>
        <w:t xml:space="preserve"> </w:t>
      </w:r>
      <w:r w:rsidRPr="00DA0139">
        <w:rPr>
          <w:rFonts w:eastAsia="Aptos"/>
        </w:rPr>
        <w:t xml:space="preserve">Our team has extensive experience working on large scale, multi-vendor statewide projects in the Health and Human Services ecosystem. These key staff understand the rigors of the public sector environment and the high </w:t>
      </w:r>
      <w:r w:rsidR="00C664C1">
        <w:rPr>
          <w:rFonts w:eastAsia="Aptos"/>
        </w:rPr>
        <w:t>standard</w:t>
      </w:r>
      <w:r w:rsidR="008407B3">
        <w:rPr>
          <w:rFonts w:eastAsia="Aptos"/>
        </w:rPr>
        <w:t xml:space="preserve"> of performance and delivery</w:t>
      </w:r>
      <w:r w:rsidR="00EC0FC6">
        <w:rPr>
          <w:rFonts w:eastAsia="Aptos"/>
        </w:rPr>
        <w:t xml:space="preserve"> </w:t>
      </w:r>
      <w:r w:rsidR="008407B3">
        <w:rPr>
          <w:rFonts w:eastAsia="Aptos"/>
        </w:rPr>
        <w:t xml:space="preserve">that </w:t>
      </w:r>
      <w:r w:rsidR="00EC0FC6">
        <w:rPr>
          <w:rFonts w:eastAsia="Aptos"/>
        </w:rPr>
        <w:t xml:space="preserve">projects like CalSAWS </w:t>
      </w:r>
      <w:r w:rsidR="00262CAB">
        <w:rPr>
          <w:rFonts w:eastAsia="Aptos"/>
        </w:rPr>
        <w:t>require.</w:t>
      </w:r>
      <w:r w:rsidR="00C15E3E">
        <w:rPr>
          <w:rFonts w:eastAsia="Aptos"/>
        </w:rPr>
        <w:t xml:space="preserve"> </w:t>
      </w:r>
    </w:p>
    <w:p w14:paraId="3EE0B135" w14:textId="165323EB" w:rsidR="00602BCB" w:rsidRPr="001446FC" w:rsidRDefault="00602BCB" w:rsidP="00D526CA">
      <w:pPr>
        <w:pStyle w:val="CS-IBMResponseText"/>
      </w:pPr>
      <w:r w:rsidRPr="00DA0139">
        <w:rPr>
          <w:rFonts w:eastAsia="Aptos"/>
        </w:rPr>
        <w:t>IBM</w:t>
      </w:r>
      <w:r w:rsidR="00F25127">
        <w:rPr>
          <w:rFonts w:eastAsia="Aptos"/>
        </w:rPr>
        <w:t xml:space="preserve">’s named key staff and team members come </w:t>
      </w:r>
      <w:r w:rsidRPr="00DA0139">
        <w:rPr>
          <w:rFonts w:eastAsia="Aptos"/>
        </w:rPr>
        <w:t xml:space="preserve">prepared and ready to tackle highly complex and sometimes difficult situations with professionalism and the right temperament necessary for success. We have selected a team that is highly qualified and experienced with CalSAWS, </w:t>
      </w:r>
      <w:r w:rsidR="00652BEB">
        <w:rPr>
          <w:rFonts w:eastAsia="Aptos"/>
        </w:rPr>
        <w:t>IBM’s QA</w:t>
      </w:r>
      <w:r w:rsidRPr="00DA0139">
        <w:rPr>
          <w:rFonts w:eastAsia="Aptos"/>
        </w:rPr>
        <w:t xml:space="preserve"> methodologies, tools, and approaches, supplemented with our US-based Client Innovation Centers (CICs) supporting our onsite personnel. The personnel proposed are collaborative, high-achieving, and results oriented</w:t>
      </w:r>
      <w:r w:rsidR="00245270">
        <w:rPr>
          <w:rFonts w:eastAsia="Aptos"/>
        </w:rPr>
        <w:t xml:space="preserve">. </w:t>
      </w:r>
    </w:p>
    <w:p w14:paraId="4CFB1432" w14:textId="51BE56CE" w:rsidR="00602BCB" w:rsidRPr="001446FC" w:rsidRDefault="00602BCB" w:rsidP="00D526CA">
      <w:pPr>
        <w:pStyle w:val="CS-IBMResponseText"/>
      </w:pPr>
      <w:r w:rsidRPr="00DA0139">
        <w:rPr>
          <w:rFonts w:eastAsia="Aptos"/>
        </w:rPr>
        <w:t xml:space="preserve">The following staffing section describes IBM’s experience and understanding, staffing methodology and approach, criteria used for filling Key Staff positions, and planned </w:t>
      </w:r>
      <w:r w:rsidRPr="00DA0139">
        <w:rPr>
          <w:rFonts w:eastAsia="Aptos"/>
        </w:rPr>
        <w:lastRenderedPageBreak/>
        <w:t xml:space="preserve">interactions with the CalSAWS Consortium’s project staff – in addition to the roles and responsibilities envisioned for Team </w:t>
      </w:r>
      <w:r w:rsidR="0082378A">
        <w:rPr>
          <w:rFonts w:eastAsia="Aptos"/>
        </w:rPr>
        <w:t>CalSAWS</w:t>
      </w:r>
    </w:p>
    <w:p w14:paraId="45FF02C4" w14:textId="77777777" w:rsidR="00253838" w:rsidRPr="006D0FE4" w:rsidRDefault="00253838" w:rsidP="006D0FE4"/>
    <w:p w14:paraId="5742A91D" w14:textId="115CA0FB" w:rsidR="00602BCB" w:rsidRPr="00271F20" w:rsidRDefault="006D0FE4" w:rsidP="00C12490">
      <w:pPr>
        <w:pStyle w:val="Heading3"/>
        <w:rPr>
          <w:b w:val="0"/>
          <w:sz w:val="28"/>
          <w:szCs w:val="28"/>
        </w:rPr>
      </w:pPr>
      <w:bookmarkStart w:id="4" w:name="_Toc212460236"/>
      <w:r>
        <w:t xml:space="preserve">3.1.1 </w:t>
      </w:r>
      <w:r w:rsidR="00602BCB" w:rsidRPr="00271F20">
        <w:t>IBM Experience and Understanding</w:t>
      </w:r>
      <w:bookmarkEnd w:id="4"/>
    </w:p>
    <w:p w14:paraId="522F2986" w14:textId="77777777" w:rsidR="00602BCB" w:rsidRPr="00DA0139" w:rsidRDefault="00602BCB" w:rsidP="00D526CA">
      <w:pPr>
        <w:pStyle w:val="CS-IBMResponseText"/>
      </w:pPr>
      <w:r w:rsidRPr="00DA0139">
        <w:t>IBM brings more than three decades of experience in delivering Quality Assurance for State and Federal Health and Human Services programs across the country. From Medicaid eligibility modernization to integrated benefits platforms, IBM has partnered with large, multi-vendor ecosystems similar in size and scope to CalSAWS. Our work includes modernization efforts in California, Florida, Arizona, and New York, where we supported integrated eligibility and benefits delivery programs impacting millions of residents.</w:t>
      </w:r>
    </w:p>
    <w:p w14:paraId="7658E31A" w14:textId="0E95A91E" w:rsidR="00602BCB" w:rsidRPr="00DA0139" w:rsidRDefault="00602BCB" w:rsidP="00D526CA">
      <w:pPr>
        <w:pStyle w:val="CS-IBMResponseText"/>
      </w:pPr>
      <w:r w:rsidRPr="00DA0139">
        <w:t xml:space="preserve">We understand that CalSAWS is not only a technical system but a mission-critical platform for administering public assistance programs that deliver </w:t>
      </w:r>
      <w:r w:rsidR="00225F43">
        <w:t xml:space="preserve">critical </w:t>
      </w:r>
      <w:r w:rsidRPr="00DA0139">
        <w:t xml:space="preserve">benefits and services to applicants and recipients of the respective programs, including CalWORKs, Medi-Cal, CalFRESH, Refugee Cash Assistance and General Assistance. QA staff must therefore be familiar with </w:t>
      </w:r>
      <w:r w:rsidR="00225F43">
        <w:t>CalSAWS, the CalSAWS ecosystem and governance model</w:t>
      </w:r>
      <w:r w:rsidR="0023671C">
        <w:t xml:space="preserve">, how and where counties play a role in </w:t>
      </w:r>
      <w:r w:rsidR="00103BE1">
        <w:t xml:space="preserve">system development and testing, </w:t>
      </w:r>
      <w:r w:rsidRPr="00DA0139">
        <w:t>public assistance programs, human services workflows, CalSAWS-specific releases, and the requirements of Federal and State compliance. QA services must ensure that both major and minor releases are validated against functional and technical requirements, program needs, legislative policy and mandates, and user-centered design principles, while continuously improving delivery outcomes for counties and citizens.</w:t>
      </w:r>
    </w:p>
    <w:p w14:paraId="18F30913" w14:textId="77777777" w:rsidR="00253838" w:rsidRDefault="00253838" w:rsidP="00B7710E">
      <w:pPr>
        <w:pStyle w:val="CS-IBMResponseText"/>
        <w:rPr>
          <w:b/>
          <w:bCs/>
        </w:rPr>
      </w:pPr>
    </w:p>
    <w:p w14:paraId="4BCF2F1D" w14:textId="2BA78BD7" w:rsidR="00602BCB" w:rsidRPr="00271F20" w:rsidRDefault="00A7622F" w:rsidP="00C12490">
      <w:pPr>
        <w:pStyle w:val="Heading3"/>
        <w:rPr>
          <w:b w:val="0"/>
          <w:sz w:val="28"/>
          <w:szCs w:val="28"/>
        </w:rPr>
      </w:pPr>
      <w:bookmarkStart w:id="5" w:name="_Toc212460237"/>
      <w:r>
        <w:t xml:space="preserve">3.1.2 </w:t>
      </w:r>
      <w:r w:rsidR="00602BCB" w:rsidRPr="00271F20">
        <w:t>Our Understanding of the Consortium’s Ask</w:t>
      </w:r>
      <w:bookmarkEnd w:id="5"/>
    </w:p>
    <w:p w14:paraId="664F51CF" w14:textId="77777777" w:rsidR="00602BCB" w:rsidRPr="00DA0139" w:rsidRDefault="00602BCB" w:rsidP="00D526CA">
      <w:pPr>
        <w:pStyle w:val="CS-IBMResponseText"/>
      </w:pPr>
      <w:r w:rsidRPr="00DA0139">
        <w:t>The Consortium has made clear through this RFP that staffing must do more than simply “fill roles.” QA staff must:</w:t>
      </w:r>
    </w:p>
    <w:p w14:paraId="0C027015" w14:textId="77777777" w:rsidR="00602BCB" w:rsidRPr="00DA0139" w:rsidRDefault="00602BCB" w:rsidP="006A6246">
      <w:pPr>
        <w:pStyle w:val="CS-IBMBullet1"/>
      </w:pPr>
      <w:r w:rsidRPr="00DA0139">
        <w:t>Understand CalSAWS and the Public Assistance Ecosystem: Possess knowledge of eligibility rules, program requirements, and county workflows to ensure QA aligns with how Medi-Cal, CalFRESH, CalWORKs, Refugee Cash Assistance, General Assistance and other benefits are actually delivered to Californians.</w:t>
      </w:r>
    </w:p>
    <w:p w14:paraId="54928F19" w14:textId="77777777" w:rsidR="00602BCB" w:rsidRPr="00DA0139" w:rsidRDefault="00602BCB" w:rsidP="006A6246">
      <w:pPr>
        <w:pStyle w:val="CS-IBMBullet1"/>
      </w:pPr>
      <w:r w:rsidRPr="00DA0139">
        <w:t>Innovate within CalSAWS system processes, tools, and infrastructure (UA1).</w:t>
      </w:r>
    </w:p>
    <w:p w14:paraId="15889823" w14:textId="77777777" w:rsidR="00602BCB" w:rsidRPr="00DA0139" w:rsidRDefault="00602BCB" w:rsidP="006A6246">
      <w:pPr>
        <w:pStyle w:val="CS-IBMBullet1"/>
      </w:pPr>
      <w:r w:rsidRPr="00DA0139">
        <w:t>Scale and flex in response to one-time legislative or technology-driven initiatives (UA2).</w:t>
      </w:r>
    </w:p>
    <w:p w14:paraId="34413954" w14:textId="77777777" w:rsidR="00602BCB" w:rsidRPr="00DA0139" w:rsidRDefault="00602BCB" w:rsidP="006A6246">
      <w:pPr>
        <w:pStyle w:val="CS-IBMBullet1"/>
      </w:pPr>
      <w:r w:rsidRPr="00DA0139">
        <w:t>Collaborate and communicate effectively with counties, the Consortium, and multiple contractors in an integrated environment.</w:t>
      </w:r>
    </w:p>
    <w:p w14:paraId="45411159" w14:textId="77777777" w:rsidR="00602BCB" w:rsidRPr="00DA0139" w:rsidRDefault="00602BCB" w:rsidP="006A6246">
      <w:pPr>
        <w:pStyle w:val="CS-IBMBullet1"/>
      </w:pPr>
      <w:r w:rsidRPr="00DA0139">
        <w:t>Ensure continuity of knowledge while minimizing turnover.</w:t>
      </w:r>
    </w:p>
    <w:p w14:paraId="6C436842" w14:textId="1D8F11D8" w:rsidR="00602BCB" w:rsidRPr="00DA0139" w:rsidRDefault="00602BCB" w:rsidP="006A6246">
      <w:pPr>
        <w:pStyle w:val="CS-IBMBullet1"/>
      </w:pPr>
      <w:r w:rsidRPr="00DA0139">
        <w:t>Communicate clearly and effectively with both technical and non-technical stakeholders.</w:t>
      </w:r>
    </w:p>
    <w:p w14:paraId="00DBC1A3" w14:textId="74A1D218" w:rsidR="00175D1C" w:rsidRPr="00501378" w:rsidRDefault="00602BCB" w:rsidP="00D526CA">
      <w:pPr>
        <w:pStyle w:val="CS-IBMResponseText"/>
      </w:pPr>
      <w:r w:rsidRPr="00DA0139">
        <w:t xml:space="preserve">These asks </w:t>
      </w:r>
      <w:r w:rsidR="00A87016" w:rsidRPr="00DA0139">
        <w:t>to highlight</w:t>
      </w:r>
      <w:r w:rsidRPr="00DA0139">
        <w:t xml:space="preserve"> the need for a staffing approach that is both strategic and operational: strategic in anticipating future demands, and operational in ensuring consistent, day-to-day quality assurance.</w:t>
      </w:r>
    </w:p>
    <w:p w14:paraId="57B08B49" w14:textId="6BD43A0C" w:rsidR="00602BCB" w:rsidRPr="00271F20" w:rsidRDefault="00A7622F" w:rsidP="00C12490">
      <w:pPr>
        <w:pStyle w:val="Heading3"/>
        <w:rPr>
          <w:b w:val="0"/>
          <w:sz w:val="28"/>
          <w:szCs w:val="28"/>
        </w:rPr>
      </w:pPr>
      <w:bookmarkStart w:id="6" w:name="_Toc212460238"/>
      <w:r>
        <w:lastRenderedPageBreak/>
        <w:t xml:space="preserve">3.1.3 </w:t>
      </w:r>
      <w:r w:rsidR="00602BCB" w:rsidRPr="00AD6D60">
        <w:t>Our Value Proposition</w:t>
      </w:r>
      <w:bookmarkEnd w:id="6"/>
    </w:p>
    <w:p w14:paraId="600B3F30" w14:textId="515BA46D" w:rsidR="00602BCB" w:rsidRPr="00DA0139" w:rsidRDefault="00602BCB" w:rsidP="00D526CA">
      <w:pPr>
        <w:pStyle w:val="CS-IBMResponseText"/>
        <w:rPr>
          <w:rFonts w:eastAsia="IBM Plex Sans"/>
        </w:rPr>
      </w:pPr>
      <w:r w:rsidRPr="00DA0139">
        <w:rPr>
          <w:rFonts w:eastAsia="IBM Plex Sans"/>
        </w:rPr>
        <w:t>IBM brings a compelling value proposition to the CalSAWS Consortium, grounded in decades of experience managing large-scale, multi-vendor technology programs for public sector clients. As a global leader in consulting and technology services</w:t>
      </w:r>
      <w:r w:rsidR="00714A20">
        <w:rPr>
          <w:rFonts w:eastAsia="IBM Plex Sans"/>
        </w:rPr>
        <w:t xml:space="preserve"> of similar size and scale as the incumbent systems integrator vendors </w:t>
      </w:r>
      <w:r w:rsidR="005C69A0">
        <w:rPr>
          <w:rFonts w:eastAsia="IBM Plex Sans"/>
        </w:rPr>
        <w:t>employed by CalSAWS</w:t>
      </w:r>
      <w:r w:rsidRPr="00DA0139">
        <w:rPr>
          <w:rFonts w:eastAsia="IBM Plex Sans"/>
        </w:rPr>
        <w:t>, IBM offers a proven portfolio of playbooks, accelerators, technology and frameworks specifically designed to address the complexities of public assistance delivery systems. These assets are instrumental in ensuring seamless integration, operational efficiency, and consistent service delivery across diverse vendor ecosystems.</w:t>
      </w:r>
    </w:p>
    <w:p w14:paraId="2A83F758" w14:textId="77777777" w:rsidR="00602BCB" w:rsidRPr="00277E0A" w:rsidRDefault="00602BCB" w:rsidP="00D526CA">
      <w:pPr>
        <w:pStyle w:val="CS-IBMResponseText"/>
        <w:rPr>
          <w:rFonts w:eastAsia="IBM Plex Sans"/>
          <w:b/>
          <w:bCs/>
        </w:rPr>
      </w:pPr>
      <w:bookmarkStart w:id="7" w:name="_Toc211641120"/>
      <w:r w:rsidRPr="00277E0A">
        <w:rPr>
          <w:rFonts w:eastAsia="IBM Plex Sans"/>
          <w:b/>
          <w:bCs/>
        </w:rPr>
        <w:t>Quality Engineering (QE) Services: Excellence in Execution</w:t>
      </w:r>
      <w:bookmarkEnd w:id="7"/>
    </w:p>
    <w:p w14:paraId="23B4BBD2" w14:textId="77777777" w:rsidR="00602BCB" w:rsidRPr="00DA0139" w:rsidRDefault="00602BCB" w:rsidP="00D526CA">
      <w:pPr>
        <w:pStyle w:val="CS-IBMResponseText"/>
        <w:rPr>
          <w:rFonts w:eastAsia="IBM Plex Sans"/>
        </w:rPr>
      </w:pPr>
      <w:r w:rsidRPr="00DA0139">
        <w:rPr>
          <w:rFonts w:eastAsia="IBM Plex Sans"/>
        </w:rPr>
        <w:t>IBM’s Quality Engineering (QE) Services exemplify our commitment to innovation, reliability, and delivery excellence. With a workforce of over 15,000 QE professionals across North America and our Global Client Innovation Centers (CICs), IBM combines deep consulting expertise with scalable delivery capabilities. This enables us to provide:</w:t>
      </w:r>
    </w:p>
    <w:p w14:paraId="67961A63" w14:textId="77777777" w:rsidR="00602BCB" w:rsidRPr="00DA0139" w:rsidRDefault="00602BCB" w:rsidP="00277E0A">
      <w:pPr>
        <w:pStyle w:val="CS-IBMBullet1"/>
        <w:rPr>
          <w:rFonts w:eastAsia="IBM Plex Sans"/>
        </w:rPr>
      </w:pPr>
      <w:r w:rsidRPr="0083086C">
        <w:rPr>
          <w:rFonts w:eastAsia="IBM Plex Sans"/>
          <w:b/>
          <w:bCs/>
        </w:rPr>
        <w:t xml:space="preserve">Thought leadership </w:t>
      </w:r>
      <w:r w:rsidRPr="00DA0139">
        <w:rPr>
          <w:rFonts w:eastAsia="IBM Plex Sans"/>
        </w:rPr>
        <w:t>in AI-enabled testing, DevSecOps, and intelligent automation.</w:t>
      </w:r>
    </w:p>
    <w:p w14:paraId="047F4387" w14:textId="77777777" w:rsidR="00602BCB" w:rsidRPr="00DA0139" w:rsidRDefault="00602BCB" w:rsidP="00277E0A">
      <w:pPr>
        <w:pStyle w:val="CS-IBMBullet1"/>
        <w:rPr>
          <w:rFonts w:eastAsia="IBM Plex Sans"/>
        </w:rPr>
      </w:pPr>
      <w:r w:rsidRPr="0083086C">
        <w:rPr>
          <w:rFonts w:eastAsia="IBM Plex Sans"/>
          <w:b/>
          <w:bCs/>
        </w:rPr>
        <w:t>Execution discipline</w:t>
      </w:r>
      <w:r w:rsidRPr="00DA0139">
        <w:rPr>
          <w:rFonts w:eastAsia="IBM Plex Sans"/>
        </w:rPr>
        <w:t xml:space="preserve"> to deliver predictable, high-quality outcomes.</w:t>
      </w:r>
    </w:p>
    <w:p w14:paraId="214E3350" w14:textId="77777777" w:rsidR="00602BCB" w:rsidRPr="00DA0139" w:rsidRDefault="00602BCB" w:rsidP="00277E0A">
      <w:pPr>
        <w:pStyle w:val="CS-IBMBullet1"/>
        <w:rPr>
          <w:rFonts w:eastAsia="IBM Plex Sans"/>
        </w:rPr>
      </w:pPr>
      <w:r w:rsidRPr="0083086C">
        <w:rPr>
          <w:rFonts w:eastAsia="IBM Plex Sans"/>
          <w:b/>
          <w:bCs/>
        </w:rPr>
        <w:t>Global reach with local insight</w:t>
      </w:r>
      <w:r w:rsidRPr="00DA0139">
        <w:rPr>
          <w:rFonts w:eastAsia="IBM Plex Sans"/>
        </w:rPr>
        <w:t>, ensuring solutions are tailored to CalSAWS’ unique needs.</w:t>
      </w:r>
    </w:p>
    <w:p w14:paraId="5013506A" w14:textId="77777777" w:rsidR="00602BCB" w:rsidRPr="00DA0139" w:rsidRDefault="00602BCB" w:rsidP="00D526CA">
      <w:pPr>
        <w:pStyle w:val="CS-IBMResponseText"/>
        <w:rPr>
          <w:rFonts w:eastAsia="IBM Plex Sans"/>
        </w:rPr>
      </w:pPr>
      <w:r w:rsidRPr="00DA0139">
        <w:rPr>
          <w:rFonts w:eastAsia="IBM Plex Sans"/>
        </w:rPr>
        <w:t>Our QE Services are underpinned by standardized methodologies and GenAI-infused assets that accelerate implementation and transformation. By leveraging cognitive technologies, predictive analytics, and cloud-native testing frameworks, IBM mitigates risk and enhances quality across the entire lifecycle of CalSAWS systems.</w:t>
      </w:r>
    </w:p>
    <w:p w14:paraId="1000CFDF" w14:textId="77777777" w:rsidR="00602BCB" w:rsidRPr="00025DA2" w:rsidRDefault="00602BCB" w:rsidP="00D526CA">
      <w:pPr>
        <w:pStyle w:val="CS-IBMResponseText"/>
        <w:rPr>
          <w:rFonts w:eastAsia="IBM Plex Sans"/>
          <w:b/>
          <w:bCs/>
        </w:rPr>
      </w:pPr>
      <w:bookmarkStart w:id="8" w:name="_Toc211641121"/>
      <w:r w:rsidRPr="00025DA2">
        <w:rPr>
          <w:rFonts w:eastAsia="IBM Plex Sans"/>
          <w:b/>
          <w:bCs/>
        </w:rPr>
        <w:t>Cross-Industry Expertise and Scalable Solutions</w:t>
      </w:r>
      <w:bookmarkEnd w:id="8"/>
    </w:p>
    <w:p w14:paraId="0A335DEE" w14:textId="193C60C6" w:rsidR="00602BCB" w:rsidRPr="00DA0139" w:rsidRDefault="00602BCB" w:rsidP="00D526CA">
      <w:pPr>
        <w:pStyle w:val="CS-IBMResponseText"/>
        <w:rPr>
          <w:rFonts w:eastAsia="IBM Plex Sans"/>
        </w:rPr>
      </w:pPr>
      <w:r w:rsidRPr="00DA0139">
        <w:rPr>
          <w:rFonts w:eastAsia="IBM Plex Sans"/>
        </w:rPr>
        <w:t>IBM’s extensive cross-industry experience allows us to deliver repeatable, scalable solutions efficiently and consistently. Our deep technical proficiency spans major enterprise platforms</w:t>
      </w:r>
      <w:r w:rsidR="008F17FA">
        <w:rPr>
          <w:rFonts w:eastAsia="IBM Plex Sans"/>
        </w:rPr>
        <w:t xml:space="preserve">, </w:t>
      </w:r>
      <w:r w:rsidRPr="00DA0139">
        <w:rPr>
          <w:rFonts w:eastAsia="IBM Plex Sans"/>
        </w:rPr>
        <w:t>including AWS, Microsoft, Salesforce, and Oracle</w:t>
      </w:r>
      <w:r w:rsidR="008F17FA">
        <w:rPr>
          <w:rFonts w:eastAsia="IBM Plex Sans"/>
        </w:rPr>
        <w:t xml:space="preserve">, </w:t>
      </w:r>
      <w:r w:rsidRPr="00DA0139">
        <w:rPr>
          <w:rFonts w:eastAsia="IBM Plex Sans"/>
        </w:rPr>
        <w:t>ensuring seamless integration and interoperability across CalSAWS’ technology landscape.</w:t>
      </w:r>
    </w:p>
    <w:p w14:paraId="6FA7249C" w14:textId="77777777" w:rsidR="00602BCB" w:rsidRPr="00025DA2" w:rsidRDefault="00602BCB" w:rsidP="00D526CA">
      <w:pPr>
        <w:pStyle w:val="CS-IBMResponseText"/>
        <w:rPr>
          <w:rFonts w:eastAsia="IBM Plex Sans"/>
          <w:b/>
          <w:bCs/>
        </w:rPr>
      </w:pPr>
      <w:bookmarkStart w:id="9" w:name="_Toc211641122"/>
      <w:r w:rsidRPr="00025DA2">
        <w:rPr>
          <w:rFonts w:eastAsia="IBM Plex Sans"/>
          <w:b/>
          <w:bCs/>
        </w:rPr>
        <w:t>Delivery Excellence for Mission-Critical Systems</w:t>
      </w:r>
      <w:bookmarkEnd w:id="9"/>
    </w:p>
    <w:p w14:paraId="7A347ADD" w14:textId="77777777" w:rsidR="00602BCB" w:rsidRPr="00DA0139" w:rsidRDefault="00602BCB" w:rsidP="00D526CA">
      <w:pPr>
        <w:pStyle w:val="CS-IBMResponseText"/>
        <w:rPr>
          <w:rFonts w:eastAsia="IBM Plex Sans"/>
        </w:rPr>
      </w:pPr>
      <w:r w:rsidRPr="00DA0139">
        <w:rPr>
          <w:rFonts w:eastAsia="IBM Plex Sans"/>
        </w:rPr>
        <w:t>IBM’s Delivery Excellence capabilities are particularly suited to the mission-critical nature of the CalSAWS system, which supports all 58 counties and serves approximately 15 million residents. Through rigorous quality assurance reviews, standardized processes, and continuous improvement practices, IBM ensures that all deliverables meet or exceed industry standards.</w:t>
      </w:r>
    </w:p>
    <w:p w14:paraId="34B757F0" w14:textId="632CD6FB" w:rsidR="004D4E60" w:rsidRPr="003B5D17" w:rsidRDefault="00602BCB" w:rsidP="00D526CA">
      <w:pPr>
        <w:pStyle w:val="CS-IBMResponseText"/>
        <w:rPr>
          <w:rFonts w:eastAsia="IBM Plex Sans"/>
        </w:rPr>
      </w:pPr>
      <w:r w:rsidRPr="00DA0139">
        <w:rPr>
          <w:rFonts w:eastAsia="IBM Plex Sans"/>
        </w:rPr>
        <w:t xml:space="preserve">Our approach to quality management supports the delivery of vital public assistance programs such as Medi-Cal, CalFRESH, and CalWORKs. IBM’s repeatable and scalable processes align with CalSAWS’ need for consistent service delivery to all 58 counties, while our commitment to continuous learning and adaptation ensures the system remains innovative and </w:t>
      </w:r>
      <w:r w:rsidR="008F17FA" w:rsidRPr="00DA0139">
        <w:rPr>
          <w:rFonts w:eastAsia="IBM Plex Sans"/>
        </w:rPr>
        <w:t>future</w:t>
      </w:r>
      <w:r w:rsidR="008F17FA">
        <w:rPr>
          <w:rFonts w:eastAsia="IBM Plex Sans"/>
        </w:rPr>
        <w:t>-</w:t>
      </w:r>
      <w:r w:rsidR="008F17FA" w:rsidRPr="00DA0139">
        <w:rPr>
          <w:rFonts w:eastAsia="IBM Plex Sans"/>
        </w:rPr>
        <w:t>ready</w:t>
      </w:r>
      <w:r w:rsidRPr="00DA0139">
        <w:rPr>
          <w:rFonts w:eastAsia="IBM Plex Sans"/>
        </w:rPr>
        <w:t>.</w:t>
      </w:r>
    </w:p>
    <w:p w14:paraId="1019CDAF" w14:textId="77777777" w:rsidR="00F37617" w:rsidRDefault="00F37617" w:rsidP="00A7622F">
      <w:pPr>
        <w:rPr>
          <w:rFonts w:eastAsia="IBM Plex Sans"/>
        </w:rPr>
      </w:pPr>
    </w:p>
    <w:p w14:paraId="56EA6F09" w14:textId="77777777" w:rsidR="00A7622F" w:rsidRPr="00A7622F" w:rsidRDefault="00A7622F" w:rsidP="00A7622F">
      <w:pPr>
        <w:rPr>
          <w:rFonts w:eastAsia="IBM Plex Sans"/>
        </w:rPr>
      </w:pPr>
    </w:p>
    <w:p w14:paraId="4D2526B4" w14:textId="21B10AE8" w:rsidR="000C68CD" w:rsidRPr="00864496" w:rsidRDefault="00A7622F" w:rsidP="00C12490">
      <w:pPr>
        <w:pStyle w:val="Heading3"/>
        <w:rPr>
          <w:rFonts w:eastAsia="IBM Plex Sans"/>
        </w:rPr>
      </w:pPr>
      <w:bookmarkStart w:id="10" w:name="_Toc212460239"/>
      <w:r>
        <w:rPr>
          <w:rFonts w:eastAsia="IBM Plex Sans"/>
        </w:rPr>
        <w:lastRenderedPageBreak/>
        <w:t xml:space="preserve">3.1.4 </w:t>
      </w:r>
      <w:r w:rsidR="000C68CD" w:rsidRPr="00864496">
        <w:rPr>
          <w:rFonts w:eastAsia="IBM Plex Sans"/>
        </w:rPr>
        <w:t>Strategic Partnership for CalSAWS Governance an</w:t>
      </w:r>
      <w:r w:rsidR="003B5D17" w:rsidRPr="00864496">
        <w:rPr>
          <w:rFonts w:eastAsia="IBM Plex Sans"/>
        </w:rPr>
        <w:t xml:space="preserve">d </w:t>
      </w:r>
      <w:r w:rsidR="000C68CD" w:rsidRPr="00864496">
        <w:rPr>
          <w:rFonts w:eastAsia="IBM Plex Sans"/>
        </w:rPr>
        <w:t>Oversight</w:t>
      </w:r>
      <w:bookmarkEnd w:id="10"/>
    </w:p>
    <w:p w14:paraId="254A9BE9" w14:textId="5BAB3647" w:rsidR="000C68CD" w:rsidRPr="003B5D17"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IBM’s role extends beyond that of a Quality Assurance vendor — we act as a </w:t>
      </w:r>
      <w:r w:rsidRPr="003B5D17">
        <w:rPr>
          <w:rFonts w:ascii="Century Gothic" w:eastAsia="IBM Plex Sans" w:hAnsi="Century Gothic" w:cs="Arial"/>
          <w:b/>
          <w:bCs/>
          <w:color w:val="0D0D0D" w:themeColor="text1" w:themeTint="F2"/>
          <w:sz w:val="22"/>
          <w:szCs w:val="21"/>
        </w:rPr>
        <w:t>strategic partner to the CalSAWS Consortium</w:t>
      </w:r>
      <w:r w:rsidRPr="003B5D17">
        <w:rPr>
          <w:rFonts w:ascii="Century Gothic" w:eastAsia="IBM Plex Sans" w:hAnsi="Century Gothic" w:cs="Arial"/>
          <w:color w:val="0D0D0D" w:themeColor="text1" w:themeTint="F2"/>
          <w:sz w:val="22"/>
          <w:szCs w:val="21"/>
        </w:rPr>
        <w:t>, fully aligned with its mission to provide unified, accurate, and timely delivery of public assistance benefits across all 58 California counties.</w:t>
      </w:r>
    </w:p>
    <w:p w14:paraId="3A4C0F4A" w14:textId="1E85A6F6" w:rsidR="000C68CD" w:rsidRPr="003B5D17"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We understand that </w:t>
      </w:r>
      <w:r w:rsidRPr="003B5D17">
        <w:rPr>
          <w:rFonts w:ascii="Century Gothic" w:eastAsia="IBM Plex Sans" w:hAnsi="Century Gothic" w:cs="Arial"/>
          <w:b/>
          <w:bCs/>
          <w:color w:val="0D0D0D" w:themeColor="text1" w:themeTint="F2"/>
          <w:sz w:val="22"/>
          <w:szCs w:val="21"/>
        </w:rPr>
        <w:t>CalSAWS operates within one of the nation’s most complex human services governance structures</w:t>
      </w:r>
      <w:r w:rsidRPr="003B5D17">
        <w:rPr>
          <w:rFonts w:ascii="Century Gothic" w:eastAsia="IBM Plex Sans" w:hAnsi="Century Gothic" w:cs="Arial"/>
          <w:color w:val="0D0D0D" w:themeColor="text1" w:themeTint="F2"/>
          <w:sz w:val="22"/>
          <w:szCs w:val="21"/>
        </w:rPr>
        <w:t xml:space="preserve">, involving coordination across the </w:t>
      </w:r>
      <w:r w:rsidRPr="003B5D17">
        <w:rPr>
          <w:rFonts w:ascii="Century Gothic" w:eastAsia="IBM Plex Sans" w:hAnsi="Century Gothic" w:cs="Arial"/>
          <w:b/>
          <w:bCs/>
          <w:color w:val="0D0D0D" w:themeColor="text1" w:themeTint="F2"/>
          <w:sz w:val="22"/>
          <w:szCs w:val="21"/>
        </w:rPr>
        <w:t>Consortium, the State (CDSS, DHCS, and O</w:t>
      </w:r>
      <w:r w:rsidR="00E523DC">
        <w:rPr>
          <w:rFonts w:ascii="Century Gothic" w:eastAsia="IBM Plex Sans" w:hAnsi="Century Gothic" w:cs="Arial"/>
          <w:b/>
          <w:bCs/>
          <w:color w:val="0D0D0D" w:themeColor="text1" w:themeTint="F2"/>
          <w:sz w:val="22"/>
          <w:szCs w:val="21"/>
        </w:rPr>
        <w:t>T</w:t>
      </w:r>
      <w:r w:rsidRPr="003B5D17">
        <w:rPr>
          <w:rFonts w:ascii="Century Gothic" w:eastAsia="IBM Plex Sans" w:hAnsi="Century Gothic" w:cs="Arial"/>
          <w:b/>
          <w:bCs/>
          <w:color w:val="0D0D0D" w:themeColor="text1" w:themeTint="F2"/>
          <w:sz w:val="22"/>
          <w:szCs w:val="21"/>
        </w:rPr>
        <w:t>SI),</w:t>
      </w:r>
      <w:r w:rsidR="000B6F38">
        <w:rPr>
          <w:rFonts w:ascii="Century Gothic" w:eastAsia="IBM Plex Sans" w:hAnsi="Century Gothic" w:cs="Arial"/>
          <w:b/>
          <w:bCs/>
          <w:color w:val="0D0D0D" w:themeColor="text1" w:themeTint="F2"/>
          <w:sz w:val="22"/>
          <w:szCs w:val="21"/>
        </w:rPr>
        <w:t xml:space="preserve"> the CalSAWS JPA and Project Steering Committee (PSC)</w:t>
      </w:r>
      <w:r w:rsidR="0073269C">
        <w:rPr>
          <w:rFonts w:ascii="Century Gothic" w:eastAsia="IBM Plex Sans" w:hAnsi="Century Gothic" w:cs="Arial"/>
          <w:b/>
          <w:bCs/>
          <w:color w:val="0D0D0D" w:themeColor="text1" w:themeTint="F2"/>
          <w:sz w:val="22"/>
          <w:szCs w:val="21"/>
        </w:rPr>
        <w:t xml:space="preserve">, </w:t>
      </w:r>
      <w:r w:rsidRPr="003B5D17">
        <w:rPr>
          <w:rFonts w:ascii="Century Gothic" w:eastAsia="IBM Plex Sans" w:hAnsi="Century Gothic" w:cs="Arial"/>
          <w:b/>
          <w:bCs/>
          <w:color w:val="0D0D0D" w:themeColor="text1" w:themeTint="F2"/>
          <w:sz w:val="22"/>
          <w:szCs w:val="21"/>
        </w:rPr>
        <w:t>county welfare departments, and multiple vendors</w:t>
      </w:r>
      <w:r w:rsidRPr="003B5D17">
        <w:rPr>
          <w:rFonts w:ascii="Century Gothic" w:eastAsia="IBM Plex Sans" w:hAnsi="Century Gothic" w:cs="Arial"/>
          <w:color w:val="0D0D0D" w:themeColor="text1" w:themeTint="F2"/>
          <w:sz w:val="22"/>
          <w:szCs w:val="21"/>
        </w:rPr>
        <w:t xml:space="preserve"> (including Deloitte, Gainwell, and Accenture). Success therefore depends not only on technical QA rigor but on </w:t>
      </w:r>
      <w:r w:rsidRPr="003B5D17">
        <w:rPr>
          <w:rFonts w:ascii="Century Gothic" w:eastAsia="IBM Plex Sans" w:hAnsi="Century Gothic" w:cs="Arial"/>
          <w:b/>
          <w:bCs/>
          <w:color w:val="0D0D0D" w:themeColor="text1" w:themeTint="F2"/>
          <w:sz w:val="22"/>
          <w:szCs w:val="21"/>
        </w:rPr>
        <w:t>effective orchestration of cross-vendor collaboration, data integrity, and compliance oversight</w:t>
      </w:r>
      <w:r w:rsidRPr="003B5D17">
        <w:rPr>
          <w:rFonts w:ascii="Century Gothic" w:eastAsia="IBM Plex Sans" w:hAnsi="Century Gothic" w:cs="Arial"/>
          <w:color w:val="0D0D0D" w:themeColor="text1" w:themeTint="F2"/>
          <w:sz w:val="22"/>
          <w:szCs w:val="21"/>
        </w:rPr>
        <w:t xml:space="preserve"> under the Consortium’s governance framework.</w:t>
      </w:r>
    </w:p>
    <w:p w14:paraId="12F354F7" w14:textId="2BA6E063" w:rsidR="000C68CD" w:rsidRPr="003B5D17"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IBM’s QA approach is designed to directly strengthen </w:t>
      </w:r>
      <w:r w:rsidRPr="003B5D17">
        <w:rPr>
          <w:rFonts w:ascii="Century Gothic" w:eastAsia="IBM Plex Sans" w:hAnsi="Century Gothic" w:cs="Arial"/>
          <w:b/>
          <w:bCs/>
          <w:color w:val="0D0D0D" w:themeColor="text1" w:themeTint="F2"/>
          <w:sz w:val="22"/>
          <w:szCs w:val="21"/>
        </w:rPr>
        <w:t>CalSAWS’ governance, coordination, and oversight functions</w:t>
      </w:r>
      <w:r w:rsidRPr="003B5D17">
        <w:rPr>
          <w:rFonts w:ascii="Century Gothic" w:eastAsia="IBM Plex Sans" w:hAnsi="Century Gothic" w:cs="Arial"/>
          <w:color w:val="0D0D0D" w:themeColor="text1" w:themeTint="F2"/>
          <w:sz w:val="22"/>
          <w:szCs w:val="21"/>
        </w:rPr>
        <w:t>, ensuring that all technology partners deliver outcomes consistent with the Consortium’s quality objectives and federal, state, and county program requirements.</w:t>
      </w:r>
    </w:p>
    <w:p w14:paraId="1C0F3B5C" w14:textId="0862F4A7" w:rsidR="000C68CD" w:rsidRPr="003B5D17"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By embedding </w:t>
      </w:r>
      <w:r w:rsidRPr="003B5D17">
        <w:rPr>
          <w:rFonts w:ascii="Century Gothic" w:eastAsia="IBM Plex Sans" w:hAnsi="Century Gothic" w:cs="Arial"/>
          <w:b/>
          <w:bCs/>
          <w:color w:val="0D0D0D" w:themeColor="text1" w:themeTint="F2"/>
          <w:sz w:val="22"/>
          <w:szCs w:val="21"/>
        </w:rPr>
        <w:t>feedback loops, quality gates, and performance metrics</w:t>
      </w:r>
      <w:r w:rsidRPr="003B5D17">
        <w:rPr>
          <w:rFonts w:ascii="Century Gothic" w:eastAsia="IBM Plex Sans" w:hAnsi="Century Gothic" w:cs="Arial"/>
          <w:color w:val="0D0D0D" w:themeColor="text1" w:themeTint="F2"/>
          <w:sz w:val="22"/>
          <w:szCs w:val="21"/>
        </w:rPr>
        <w:t xml:space="preserve"> into each release cycle, IBM ensures that QA insights continuously inform governance decisions — from </w:t>
      </w:r>
      <w:r w:rsidRPr="003B5D17">
        <w:rPr>
          <w:rFonts w:ascii="Century Gothic" w:eastAsia="IBM Plex Sans" w:hAnsi="Century Gothic" w:cs="Arial"/>
          <w:b/>
          <w:bCs/>
          <w:color w:val="0D0D0D" w:themeColor="text1" w:themeTint="F2"/>
          <w:sz w:val="22"/>
          <w:szCs w:val="21"/>
        </w:rPr>
        <w:t>Green-Light Readiness Reviews</w:t>
      </w:r>
      <w:r w:rsidRPr="003B5D17">
        <w:rPr>
          <w:rFonts w:ascii="Century Gothic" w:eastAsia="IBM Plex Sans" w:hAnsi="Century Gothic" w:cs="Arial"/>
          <w:color w:val="0D0D0D" w:themeColor="text1" w:themeTint="F2"/>
          <w:sz w:val="22"/>
          <w:szCs w:val="21"/>
        </w:rPr>
        <w:t xml:space="preserve"> to </w:t>
      </w:r>
      <w:r w:rsidRPr="003B5D17">
        <w:rPr>
          <w:rFonts w:ascii="Century Gothic" w:eastAsia="IBM Plex Sans" w:hAnsi="Century Gothic" w:cs="Arial"/>
          <w:b/>
          <w:bCs/>
          <w:color w:val="0D0D0D" w:themeColor="text1" w:themeTint="F2"/>
          <w:sz w:val="22"/>
          <w:szCs w:val="21"/>
        </w:rPr>
        <w:t>Executive Steering Committee</w:t>
      </w:r>
      <w:r w:rsidR="001728AF">
        <w:rPr>
          <w:rFonts w:ascii="Century Gothic" w:eastAsia="IBM Plex Sans" w:hAnsi="Century Gothic" w:cs="Arial"/>
          <w:b/>
          <w:bCs/>
          <w:color w:val="0D0D0D" w:themeColor="text1" w:themeTint="F2"/>
          <w:sz w:val="22"/>
          <w:szCs w:val="21"/>
        </w:rPr>
        <w:t>, JPA and PSC</w:t>
      </w:r>
      <w:r w:rsidRPr="003B5D17">
        <w:rPr>
          <w:rFonts w:ascii="Century Gothic" w:eastAsia="IBM Plex Sans" w:hAnsi="Century Gothic" w:cs="Arial"/>
          <w:b/>
          <w:bCs/>
          <w:color w:val="0D0D0D" w:themeColor="text1" w:themeTint="F2"/>
          <w:sz w:val="22"/>
          <w:szCs w:val="21"/>
        </w:rPr>
        <w:t xml:space="preserve"> report</w:t>
      </w:r>
      <w:r w:rsidR="00956875">
        <w:rPr>
          <w:rFonts w:ascii="Century Gothic" w:eastAsia="IBM Plex Sans" w:hAnsi="Century Gothic" w:cs="Arial"/>
          <w:b/>
          <w:bCs/>
          <w:color w:val="0D0D0D" w:themeColor="text1" w:themeTint="F2"/>
          <w:sz w:val="22"/>
          <w:szCs w:val="21"/>
        </w:rPr>
        <w:t>s</w:t>
      </w:r>
      <w:r w:rsidRPr="003B5D17">
        <w:rPr>
          <w:rFonts w:ascii="Century Gothic" w:eastAsia="IBM Plex Sans" w:hAnsi="Century Gothic" w:cs="Arial"/>
          <w:color w:val="0D0D0D" w:themeColor="text1" w:themeTint="F2"/>
          <w:sz w:val="22"/>
          <w:szCs w:val="21"/>
        </w:rPr>
        <w:t xml:space="preserve">. This closed-loop process gives the Consortium </w:t>
      </w:r>
      <w:r w:rsidRPr="003B5D17">
        <w:rPr>
          <w:rFonts w:ascii="Century Gothic" w:eastAsia="IBM Plex Sans" w:hAnsi="Century Gothic" w:cs="Arial"/>
          <w:b/>
          <w:bCs/>
          <w:color w:val="0D0D0D" w:themeColor="text1" w:themeTint="F2"/>
          <w:sz w:val="22"/>
          <w:szCs w:val="21"/>
        </w:rPr>
        <w:t>data-backed confidence</w:t>
      </w:r>
      <w:r w:rsidRPr="003B5D17">
        <w:rPr>
          <w:rFonts w:ascii="Century Gothic" w:eastAsia="IBM Plex Sans" w:hAnsi="Century Gothic" w:cs="Arial"/>
          <w:color w:val="0D0D0D" w:themeColor="text1" w:themeTint="F2"/>
          <w:sz w:val="22"/>
          <w:szCs w:val="21"/>
        </w:rPr>
        <w:t xml:space="preserve"> in every system release and provides early visibility into emerging risks or policy impacts (e.g., Medi-Cal redeterminations, CalWORKs time-limit recalculations).</w:t>
      </w:r>
    </w:p>
    <w:p w14:paraId="0F64F1AC" w14:textId="49FB80D3" w:rsidR="000C68CD" w:rsidRPr="003B5D17"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In essence, IBM’s value proposition lies in our ability to deliver </w:t>
      </w:r>
      <w:r w:rsidRPr="003B5D17">
        <w:rPr>
          <w:rFonts w:ascii="Century Gothic" w:eastAsia="IBM Plex Sans" w:hAnsi="Century Gothic" w:cs="Arial"/>
          <w:b/>
          <w:bCs/>
          <w:color w:val="0D0D0D" w:themeColor="text1" w:themeTint="F2"/>
          <w:sz w:val="22"/>
          <w:szCs w:val="21"/>
        </w:rPr>
        <w:t>an independent yet collaborative QA oversight function</w:t>
      </w:r>
      <w:r w:rsidRPr="003B5D17">
        <w:rPr>
          <w:rFonts w:ascii="Century Gothic" w:eastAsia="IBM Plex Sans" w:hAnsi="Century Gothic" w:cs="Arial"/>
          <w:color w:val="0D0D0D" w:themeColor="text1" w:themeTint="F2"/>
          <w:sz w:val="22"/>
          <w:szCs w:val="21"/>
        </w:rPr>
        <w:t xml:space="preserve"> that operates seamlessly within the </w:t>
      </w:r>
      <w:r w:rsidRPr="003B5D17">
        <w:rPr>
          <w:rFonts w:ascii="Century Gothic" w:eastAsia="IBM Plex Sans" w:hAnsi="Century Gothic" w:cs="Arial"/>
          <w:b/>
          <w:bCs/>
          <w:color w:val="0D0D0D" w:themeColor="text1" w:themeTint="F2"/>
          <w:sz w:val="22"/>
          <w:szCs w:val="21"/>
        </w:rPr>
        <w:t>CalSAWS One Team model</w:t>
      </w:r>
      <w:r w:rsidRPr="003B5D17">
        <w:rPr>
          <w:rFonts w:ascii="Century Gothic" w:eastAsia="IBM Plex Sans" w:hAnsi="Century Gothic" w:cs="Arial"/>
          <w:color w:val="0D0D0D" w:themeColor="text1" w:themeTint="F2"/>
          <w:sz w:val="22"/>
          <w:szCs w:val="21"/>
        </w:rPr>
        <w:t xml:space="preserve">. Our proven </w:t>
      </w:r>
      <w:r w:rsidRPr="003B5D17">
        <w:rPr>
          <w:rFonts w:ascii="Century Gothic" w:eastAsia="IBM Plex Sans" w:hAnsi="Century Gothic" w:cs="Arial"/>
          <w:b/>
          <w:bCs/>
          <w:color w:val="0D0D0D" w:themeColor="text1" w:themeTint="F2"/>
          <w:sz w:val="22"/>
          <w:szCs w:val="21"/>
        </w:rPr>
        <w:t>QA/QC framework</w:t>
      </w:r>
      <w:r w:rsidRPr="003B5D17">
        <w:rPr>
          <w:rFonts w:ascii="Century Gothic" w:eastAsia="IBM Plex Sans" w:hAnsi="Century Gothic" w:cs="Arial"/>
          <w:color w:val="0D0D0D" w:themeColor="text1" w:themeTint="F2"/>
          <w:sz w:val="22"/>
          <w:szCs w:val="21"/>
        </w:rPr>
        <w:t xml:space="preserve"> is tailored to the Consortium’s needs—supporting integration across M&amp;</w:t>
      </w:r>
      <w:r w:rsidR="00956875">
        <w:rPr>
          <w:rFonts w:ascii="Century Gothic" w:eastAsia="IBM Plex Sans" w:hAnsi="Century Gothic" w:cs="Arial"/>
          <w:color w:val="0D0D0D" w:themeColor="text1" w:themeTint="F2"/>
          <w:sz w:val="22"/>
          <w:szCs w:val="21"/>
        </w:rPr>
        <w:t>E</w:t>
      </w:r>
      <w:r w:rsidRPr="003B5D17">
        <w:rPr>
          <w:rFonts w:ascii="Century Gothic" w:eastAsia="IBM Plex Sans" w:hAnsi="Century Gothic" w:cs="Arial"/>
          <w:color w:val="0D0D0D" w:themeColor="text1" w:themeTint="F2"/>
          <w:sz w:val="22"/>
          <w:szCs w:val="21"/>
        </w:rPr>
        <w:t xml:space="preserve"> </w:t>
      </w:r>
      <w:r w:rsidR="004676CA">
        <w:rPr>
          <w:rFonts w:ascii="Century Gothic" w:eastAsia="IBM Plex Sans" w:hAnsi="Century Gothic" w:cs="Arial"/>
          <w:color w:val="0D0D0D" w:themeColor="text1" w:themeTint="F2"/>
          <w:sz w:val="22"/>
          <w:szCs w:val="21"/>
        </w:rPr>
        <w:t xml:space="preserve">for the CalSAWS </w:t>
      </w:r>
      <w:r w:rsidRPr="003B5D17">
        <w:rPr>
          <w:rFonts w:ascii="Century Gothic" w:eastAsia="IBM Plex Sans" w:hAnsi="Century Gothic" w:cs="Arial"/>
          <w:color w:val="0D0D0D" w:themeColor="text1" w:themeTint="F2"/>
          <w:sz w:val="22"/>
          <w:szCs w:val="21"/>
        </w:rPr>
        <w:t xml:space="preserve">and BenefitsCal environments, aligning with the </w:t>
      </w:r>
      <w:r w:rsidRPr="003B5D17">
        <w:rPr>
          <w:rFonts w:ascii="Century Gothic" w:eastAsia="IBM Plex Sans" w:hAnsi="Century Gothic" w:cs="Arial"/>
          <w:b/>
          <w:bCs/>
          <w:color w:val="0D0D0D" w:themeColor="text1" w:themeTint="F2"/>
          <w:sz w:val="22"/>
          <w:szCs w:val="21"/>
        </w:rPr>
        <w:t>CalSAWS Quality Management Plan (QMP)</w:t>
      </w:r>
      <w:r w:rsidRPr="003B5D17">
        <w:rPr>
          <w:rFonts w:ascii="Century Gothic" w:eastAsia="IBM Plex Sans" w:hAnsi="Century Gothic" w:cs="Arial"/>
          <w:color w:val="0D0D0D" w:themeColor="text1" w:themeTint="F2"/>
          <w:sz w:val="22"/>
          <w:szCs w:val="21"/>
        </w:rPr>
        <w:t>, and ensuring consistent, measurable quality outcomes across all</w:t>
      </w:r>
      <w:r w:rsidR="004676CA">
        <w:rPr>
          <w:rFonts w:ascii="Century Gothic" w:eastAsia="IBM Plex Sans" w:hAnsi="Century Gothic" w:cs="Arial"/>
          <w:color w:val="0D0D0D" w:themeColor="text1" w:themeTint="F2"/>
          <w:sz w:val="22"/>
          <w:szCs w:val="21"/>
        </w:rPr>
        <w:t xml:space="preserve"> vendors</w:t>
      </w:r>
      <w:r w:rsidRPr="003B5D17">
        <w:rPr>
          <w:rFonts w:ascii="Century Gothic" w:eastAsia="IBM Plex Sans" w:hAnsi="Century Gothic" w:cs="Arial"/>
          <w:color w:val="0D0D0D" w:themeColor="text1" w:themeTint="F2"/>
          <w:sz w:val="22"/>
          <w:szCs w:val="21"/>
        </w:rPr>
        <w:t xml:space="preserve"> and </w:t>
      </w:r>
      <w:r w:rsidR="00886E1F">
        <w:rPr>
          <w:rFonts w:ascii="Century Gothic" w:eastAsia="IBM Plex Sans" w:hAnsi="Century Gothic" w:cs="Arial"/>
          <w:color w:val="0D0D0D" w:themeColor="text1" w:themeTint="F2"/>
          <w:sz w:val="22"/>
          <w:szCs w:val="21"/>
        </w:rPr>
        <w:t>public assistance</w:t>
      </w:r>
      <w:r w:rsidR="00886E1F" w:rsidRPr="003B5D17">
        <w:rPr>
          <w:rFonts w:ascii="Century Gothic" w:eastAsia="IBM Plex Sans" w:hAnsi="Century Gothic" w:cs="Arial"/>
          <w:color w:val="0D0D0D" w:themeColor="text1" w:themeTint="F2"/>
          <w:sz w:val="22"/>
          <w:szCs w:val="21"/>
        </w:rPr>
        <w:t xml:space="preserve"> </w:t>
      </w:r>
      <w:r w:rsidRPr="003B5D17">
        <w:rPr>
          <w:rFonts w:ascii="Century Gothic" w:eastAsia="IBM Plex Sans" w:hAnsi="Century Gothic" w:cs="Arial"/>
          <w:color w:val="0D0D0D" w:themeColor="text1" w:themeTint="F2"/>
          <w:sz w:val="22"/>
          <w:szCs w:val="21"/>
        </w:rPr>
        <w:t>programs.</w:t>
      </w:r>
    </w:p>
    <w:p w14:paraId="21FD3850" w14:textId="5089F56B" w:rsidR="00CE2DB0" w:rsidRDefault="000C68CD" w:rsidP="000C68CD">
      <w:pPr>
        <w:pStyle w:val="NormalWeb"/>
        <w:rPr>
          <w:rFonts w:ascii="Century Gothic" w:eastAsia="IBM Plex Sans" w:hAnsi="Century Gothic" w:cs="Arial"/>
          <w:color w:val="0D0D0D" w:themeColor="text1" w:themeTint="F2"/>
          <w:sz w:val="22"/>
          <w:szCs w:val="21"/>
        </w:rPr>
      </w:pPr>
      <w:r w:rsidRPr="003B5D17">
        <w:rPr>
          <w:rFonts w:ascii="Century Gothic" w:eastAsia="IBM Plex Sans" w:hAnsi="Century Gothic" w:cs="Arial"/>
          <w:color w:val="0D0D0D" w:themeColor="text1" w:themeTint="F2"/>
          <w:sz w:val="22"/>
          <w:szCs w:val="21"/>
        </w:rPr>
        <w:t xml:space="preserve">By leveraging our </w:t>
      </w:r>
      <w:r w:rsidRPr="003B5D17">
        <w:rPr>
          <w:rFonts w:ascii="Century Gothic" w:eastAsia="IBM Plex Sans" w:hAnsi="Century Gothic" w:cs="Arial"/>
          <w:b/>
          <w:bCs/>
          <w:color w:val="0D0D0D" w:themeColor="text1" w:themeTint="F2"/>
          <w:sz w:val="22"/>
          <w:szCs w:val="21"/>
        </w:rPr>
        <w:t>public-sector delivery experience, California-specific HHS knowledge, and established partnerships with KAI Partners and Speridian Technologies</w:t>
      </w:r>
      <w:r w:rsidRPr="003B5D17">
        <w:rPr>
          <w:rFonts w:ascii="Century Gothic" w:eastAsia="IBM Plex Sans" w:hAnsi="Century Gothic" w:cs="Arial"/>
          <w:color w:val="0D0D0D" w:themeColor="text1" w:themeTint="F2"/>
          <w:sz w:val="22"/>
          <w:szCs w:val="21"/>
        </w:rPr>
        <w:t xml:space="preserve">, IBM brings both breadth and </w:t>
      </w:r>
      <w:r w:rsidR="00FE1263">
        <w:rPr>
          <w:rFonts w:ascii="Century Gothic" w:eastAsia="IBM Plex Sans" w:hAnsi="Century Gothic" w:cs="Arial"/>
          <w:color w:val="0D0D0D" w:themeColor="text1" w:themeTint="F2"/>
          <w:sz w:val="22"/>
          <w:szCs w:val="21"/>
        </w:rPr>
        <w:t>contextual</w:t>
      </w:r>
      <w:r w:rsidRPr="003B5D17">
        <w:rPr>
          <w:rFonts w:ascii="Century Gothic" w:eastAsia="IBM Plex Sans" w:hAnsi="Century Gothic" w:cs="Arial"/>
          <w:color w:val="0D0D0D" w:themeColor="text1" w:themeTint="F2"/>
          <w:sz w:val="22"/>
          <w:szCs w:val="21"/>
        </w:rPr>
        <w:t xml:space="preserve"> depth to CalSAWS governance. These partnerships enable domain expertise in county operations, state program compliance, and stakeholder coordination—complementing IBM’s global scale in QA engineering, automation, and analytics.</w:t>
      </w:r>
    </w:p>
    <w:p w14:paraId="18026C0B" w14:textId="63A2ADBF" w:rsidR="000C68CD" w:rsidRPr="008011BB" w:rsidRDefault="000C68CD" w:rsidP="000C68CD">
      <w:pPr>
        <w:pStyle w:val="NormalWeb"/>
        <w:rPr>
          <w:rFonts w:ascii="Century Gothic" w:eastAsia="IBM Plex Sans" w:hAnsi="Century Gothic" w:cs="Arial"/>
          <w:color w:val="0D0D0D" w:themeColor="text1" w:themeTint="F2"/>
          <w:sz w:val="22"/>
          <w:szCs w:val="22"/>
        </w:rPr>
      </w:pPr>
      <w:r w:rsidRPr="70E80950">
        <w:rPr>
          <w:rFonts w:ascii="Century Gothic" w:eastAsia="IBM Plex Sans" w:hAnsi="Century Gothic" w:cs="Arial"/>
          <w:color w:val="0D0D0D" w:themeColor="text2" w:themeTint="F2"/>
          <w:sz w:val="22"/>
          <w:szCs w:val="22"/>
        </w:rPr>
        <w:t>As one of the world’s leading consulting organizations, IBM has developed tested playbooks and accelerators that have already been proven in California programs such as CWS-CARES, MMIS, and CHHS modernization initiatives</w:t>
      </w:r>
      <w:r w:rsidR="2C2FBC87" w:rsidRPr="70E80950">
        <w:rPr>
          <w:rFonts w:ascii="Century Gothic" w:eastAsia="IBM Plex Sans" w:hAnsi="Century Gothic" w:cs="Arial"/>
          <w:color w:val="0D0D0D" w:themeColor="text2" w:themeTint="F2"/>
          <w:sz w:val="22"/>
          <w:szCs w:val="22"/>
        </w:rPr>
        <w:t xml:space="preserve"> and other engagements, such as in the States of Arizona, Florida, and New York</w:t>
      </w:r>
      <w:r w:rsidRPr="70E80950">
        <w:rPr>
          <w:rFonts w:ascii="Century Gothic" w:eastAsia="IBM Plex Sans" w:hAnsi="Century Gothic" w:cs="Arial"/>
          <w:color w:val="0D0D0D" w:themeColor="text2" w:themeTint="F2"/>
          <w:sz w:val="22"/>
          <w:szCs w:val="22"/>
        </w:rPr>
        <w:t xml:space="preserve"> Our methodologies align with CalSAWS’ vision for continuous modernization and secure-by-design DevSecOps integration, allowing us to act not just as a QA vendor but as a trusted partner in governance, modernization, and oversight.</w:t>
      </w:r>
    </w:p>
    <w:p w14:paraId="5B150CBF" w14:textId="7C6742BB" w:rsidR="00843E3E" w:rsidRDefault="00CE2DB0" w:rsidP="000C68CD">
      <w:pPr>
        <w:pStyle w:val="CS-IBMResponseText"/>
      </w:pPr>
      <w:r>
        <w:rPr>
          <w:rFonts w:eastAsia="IBM Plex Sans"/>
          <w:noProof/>
        </w:rPr>
        <w:lastRenderedPageBreak/>
        <mc:AlternateContent>
          <mc:Choice Requires="wps">
            <w:drawing>
              <wp:anchor distT="0" distB="0" distL="114300" distR="114300" simplePos="0" relativeHeight="251658253" behindDoc="0" locked="0" layoutInCell="1" allowOverlap="1" wp14:anchorId="0523ECE0" wp14:editId="49DC1E14">
                <wp:simplePos x="0" y="0"/>
                <wp:positionH relativeFrom="column">
                  <wp:posOffset>-635</wp:posOffset>
                </wp:positionH>
                <wp:positionV relativeFrom="paragraph">
                  <wp:posOffset>12700</wp:posOffset>
                </wp:positionV>
                <wp:extent cx="5935345" cy="1442085"/>
                <wp:effectExtent l="12700" t="12700" r="8255" b="18415"/>
                <wp:wrapTopAndBottom/>
                <wp:docPr id="1753130904" name="Text Box 29"/>
                <wp:cNvGraphicFramePr/>
                <a:graphic xmlns:a="http://schemas.openxmlformats.org/drawingml/2006/main">
                  <a:graphicData uri="http://schemas.microsoft.com/office/word/2010/wordprocessingShape">
                    <wps:wsp>
                      <wps:cNvSpPr txBox="1"/>
                      <wps:spPr>
                        <a:xfrm>
                          <a:off x="0" y="0"/>
                          <a:ext cx="5935345" cy="1442085"/>
                        </a:xfrm>
                        <a:prstGeom prst="rect">
                          <a:avLst/>
                        </a:prstGeom>
                        <a:solidFill>
                          <a:schemeClr val="bg1"/>
                        </a:solidFill>
                        <a:ln w="28575">
                          <a:solidFill>
                            <a:srgbClr val="006699"/>
                          </a:solidFill>
                        </a:ln>
                      </wps:spPr>
                      <wps:txbx>
                        <w:txbxContent>
                          <w:p w14:paraId="2727F98A" w14:textId="77777777" w:rsidR="00843E3E" w:rsidRPr="008011BB" w:rsidRDefault="00843E3E" w:rsidP="00843E3E">
                            <w:pPr>
                              <w:pStyle w:val="NormalWeb"/>
                              <w:jc w:val="center"/>
                              <w:rPr>
                                <w:rFonts w:ascii="Century Gothic" w:eastAsia="IBM Plex Sans" w:hAnsi="Century Gothic" w:cs="Arial"/>
                                <w:color w:val="0D0D0D" w:themeColor="text1" w:themeTint="F2"/>
                                <w:sz w:val="22"/>
                                <w:szCs w:val="21"/>
                              </w:rPr>
                            </w:pPr>
                            <w:r w:rsidRPr="008011BB">
                              <w:rPr>
                                <w:rFonts w:ascii="Century Gothic" w:eastAsia="IBM Plex Sans" w:hAnsi="Century Gothic" w:cs="Arial"/>
                                <w:color w:val="0D0D0D" w:themeColor="text1" w:themeTint="F2"/>
                                <w:sz w:val="22"/>
                                <w:szCs w:val="21"/>
                              </w:rPr>
                              <w:t>Our Quality Engineering (QE) Services practice, with more than 15,000 professionals across North America and IBM Client Innovation Centers, combines global innovation with local execution discipline. These experts bring the best of both consulting and delivery</w:t>
                            </w:r>
                            <w:r>
                              <w:rPr>
                                <w:rFonts w:ascii="Century Gothic" w:eastAsia="IBM Plex Sans" w:hAnsi="Century Gothic" w:cs="Arial"/>
                                <w:color w:val="0D0D0D" w:themeColor="text1" w:themeTint="F2"/>
                                <w:sz w:val="22"/>
                                <w:szCs w:val="21"/>
                              </w:rPr>
                              <w:t xml:space="preserve"> </w:t>
                            </w:r>
                            <w:r w:rsidRPr="008011BB">
                              <w:rPr>
                                <w:rFonts w:ascii="Century Gothic" w:eastAsia="IBM Plex Sans" w:hAnsi="Century Gothic" w:cs="Arial"/>
                                <w:color w:val="0D0D0D" w:themeColor="text1" w:themeTint="F2"/>
                                <w:sz w:val="22"/>
                                <w:szCs w:val="21"/>
                              </w:rPr>
                              <w:t>leveraging AI-enabled testing, automation, and predictive analytics to support CalSAWS’ objectives of reliability, compliance, and citizen trust.</w:t>
                            </w:r>
                          </w:p>
                          <w:p w14:paraId="58B00595" w14:textId="77777777" w:rsidR="00843E3E" w:rsidRPr="00CB6778" w:rsidRDefault="00843E3E" w:rsidP="00843E3E">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23ECE0" id="_x0000_t202" coordsize="21600,21600" o:spt="202" path="m,l,21600r21600,l21600,xe">
                <v:stroke joinstyle="miter"/>
                <v:path gradientshapeok="t" o:connecttype="rect"/>
              </v:shapetype>
              <v:shape id="Text Box 29" o:spid="_x0000_s1026" type="#_x0000_t202" style="position:absolute;margin-left:-.05pt;margin-top:1pt;width:467.35pt;height:11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" fillcolor="white [3212]" strokecolor="#069" strokeweight="2.25pt">
                <v:textbox inset="14.4pt,7.2pt,14.4pt,7.2pt">
                  <w:txbxContent>
                    <w:p w14:paraId="2727F98A" w14:textId="77777777" w:rsidR="00843E3E" w:rsidRPr="008011BB" w:rsidRDefault="00843E3E" w:rsidP="00843E3E">
                      <w:pPr>
                        <w:pStyle w:val="NormalWeb"/>
                        <w:jc w:val="center"/>
                        <w:rPr>
                          <w:rFonts w:ascii="Century Gothic" w:eastAsia="IBM Plex Sans" w:hAnsi="Century Gothic" w:cs="Arial"/>
                          <w:color w:val="0D0D0D" w:themeColor="text1" w:themeTint="F2"/>
                          <w:sz w:val="22"/>
                          <w:szCs w:val="21"/>
                        </w:rPr>
                      </w:pPr>
                      <w:r w:rsidRPr="008011BB">
                        <w:rPr>
                          <w:rFonts w:ascii="Century Gothic" w:eastAsia="IBM Plex Sans" w:hAnsi="Century Gothic" w:cs="Arial"/>
                          <w:color w:val="0D0D0D" w:themeColor="text1" w:themeTint="F2"/>
                          <w:sz w:val="22"/>
                          <w:szCs w:val="21"/>
                        </w:rPr>
                        <w:t>Our Quality Engineering (QE) Services practice, with more than 15,000 professionals across North America and IBM Client Innovation Centers, combines global innovation with local execution discipline. These experts bring the best of both consulting and delivery</w:t>
                      </w:r>
                      <w:r>
                        <w:rPr>
                          <w:rFonts w:ascii="Century Gothic" w:eastAsia="IBM Plex Sans" w:hAnsi="Century Gothic" w:cs="Arial"/>
                          <w:color w:val="0D0D0D" w:themeColor="text1" w:themeTint="F2"/>
                          <w:sz w:val="22"/>
                          <w:szCs w:val="21"/>
                        </w:rPr>
                        <w:t xml:space="preserve"> </w:t>
                      </w:r>
                      <w:r w:rsidRPr="008011BB">
                        <w:rPr>
                          <w:rFonts w:ascii="Century Gothic" w:eastAsia="IBM Plex Sans" w:hAnsi="Century Gothic" w:cs="Arial"/>
                          <w:color w:val="0D0D0D" w:themeColor="text1" w:themeTint="F2"/>
                          <w:sz w:val="22"/>
                          <w:szCs w:val="21"/>
                        </w:rPr>
                        <w:t>leveraging AI-enabled testing, automation, and predictive analytics to support CalSAWS’ objectives of reliability, compliance, and citizen trust.</w:t>
                      </w:r>
                      <w:r w:rsidRPr="008011BB">
                        <w:rPr>
                          <w:rStyle w:val="CommentReference"/>
                          <w:rFonts w:ascii="Century Gothic" w:eastAsia="IBM Plex Sans" w:hAnsi="Century Gothic" w:cs="Arial"/>
                          <w:color w:val="0D0D0D" w:themeColor="text1" w:themeTint="F2"/>
                          <w:sz w:val="22"/>
                          <w:szCs w:val="21"/>
                        </w:rPr>
                        <w:t/>
                      </w:r>
                    </w:p>
                    <w:p w14:paraId="58B00595" w14:textId="77777777" w:rsidR="00843E3E" w:rsidRPr="00CB6778" w:rsidRDefault="00843E3E" w:rsidP="00843E3E">
                      <w:pPr>
                        <w:jc w:val="center"/>
                      </w:pPr>
                    </w:p>
                  </w:txbxContent>
                </v:textbox>
                <w10:wrap type="topAndBottom"/>
              </v:shape>
            </w:pict>
          </mc:Fallback>
        </mc:AlternateContent>
      </w:r>
    </w:p>
    <w:p w14:paraId="35BF325E" w14:textId="77777777" w:rsidR="00731A13" w:rsidRDefault="00DA32E1" w:rsidP="00731A13">
      <w:pPr>
        <w:pStyle w:val="CS-IBMResponseText"/>
        <w:keepNext/>
      </w:pPr>
      <w:r w:rsidRPr="0046607B">
        <w:rPr>
          <w:noProof/>
        </w:rPr>
        <w:drawing>
          <wp:inline distT="0" distB="0" distL="0" distR="0" wp14:anchorId="0C460403" wp14:editId="6E80EC2D">
            <wp:extent cx="5943600" cy="2680335"/>
            <wp:effectExtent l="0" t="0" r="0" b="0"/>
            <wp:docPr id="1153346508" name="Picture 1" descr="A diagram of quality engineering servic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346508" name="Picture 1" descr="A diagram of quality engineering services&#10;&#10;AI-generated content may be incorrect."/>
                    <pic:cNvPicPr/>
                  </pic:nvPicPr>
                  <pic:blipFill>
                    <a:blip r:embed="rId11"/>
                    <a:stretch>
                      <a:fillRect/>
                    </a:stretch>
                  </pic:blipFill>
                  <pic:spPr>
                    <a:xfrm>
                      <a:off x="0" y="0"/>
                      <a:ext cx="5943600" cy="2680335"/>
                    </a:xfrm>
                    <a:prstGeom prst="rect">
                      <a:avLst/>
                    </a:prstGeom>
                  </pic:spPr>
                </pic:pic>
              </a:graphicData>
            </a:graphic>
          </wp:inline>
        </w:drawing>
      </w:r>
    </w:p>
    <w:p w14:paraId="1B8D92C7" w14:textId="284380FB" w:rsidR="00CC11D3" w:rsidRDefault="00731A13" w:rsidP="00731A13">
      <w:pPr>
        <w:pStyle w:val="Caption"/>
        <w:jc w:val="center"/>
      </w:pPr>
      <w:bookmarkStart w:id="11" w:name="_Toc213064431"/>
      <w:r>
        <w:t xml:space="preserve">Figure 3.1.1 </w:t>
      </w:r>
      <w:r>
        <w:fldChar w:fldCharType="begin"/>
      </w:r>
      <w:r>
        <w:instrText xml:space="preserve"> SEQ Figure_3.1.1 \* ARABIC </w:instrText>
      </w:r>
      <w:r>
        <w:fldChar w:fldCharType="separate"/>
      </w:r>
      <w:r>
        <w:rPr>
          <w:noProof/>
        </w:rPr>
        <w:t>2</w:t>
      </w:r>
      <w:r>
        <w:fldChar w:fldCharType="end"/>
      </w:r>
      <w:r>
        <w:t xml:space="preserve"> IBM Quality Engineering Services Overview</w:t>
      </w:r>
      <w:bookmarkEnd w:id="11"/>
    </w:p>
    <w:p w14:paraId="78D089BC" w14:textId="77777777" w:rsidR="00731A13" w:rsidRDefault="00731A13" w:rsidP="00C12490">
      <w:pPr>
        <w:pStyle w:val="Heading3"/>
        <w:rPr>
          <w:rFonts w:eastAsia="IBM Plex Sans"/>
        </w:rPr>
      </w:pPr>
      <w:bookmarkStart w:id="12" w:name="_Toc211641124"/>
      <w:bookmarkStart w:id="13" w:name="_Toc212460240"/>
    </w:p>
    <w:p w14:paraId="17CBD1AC" w14:textId="4F39D5EB" w:rsidR="00602BCB" w:rsidRPr="00932CC4" w:rsidRDefault="00602BCB" w:rsidP="00C12490">
      <w:pPr>
        <w:pStyle w:val="Heading3"/>
        <w:rPr>
          <w:rFonts w:eastAsia="IBM Plex Sans"/>
        </w:rPr>
      </w:pPr>
      <w:r w:rsidRPr="00C12490">
        <mc:AlternateContent>
          <mc:Choice Requires="wps">
            <w:drawing>
              <wp:anchor distT="0" distB="0" distL="114300" distR="114300" simplePos="0" relativeHeight="251658240" behindDoc="0" locked="0" layoutInCell="1" allowOverlap="1" wp14:anchorId="4D72B16B" wp14:editId="440D3DCC">
                <wp:simplePos x="0" y="0"/>
                <wp:positionH relativeFrom="column">
                  <wp:posOffset>0</wp:posOffset>
                </wp:positionH>
                <wp:positionV relativeFrom="paragraph">
                  <wp:posOffset>19541853</wp:posOffset>
                </wp:positionV>
                <wp:extent cx="4956048" cy="384048"/>
                <wp:effectExtent l="0" t="0" r="0" b="0"/>
                <wp:wrapNone/>
                <wp:docPr id="10" name="Footer Placeholder 2">
                  <a:extLst xmlns:a="http://schemas.openxmlformats.org/drawingml/2006/main">
                    <a:ext uri="{FF2B5EF4-FFF2-40B4-BE49-F238E27FC236}">
                      <a16:creationId xmlns:a16="http://schemas.microsoft.com/office/drawing/2014/main" id="{1B825E31-977B-39C5-4AB8-10374F0B39A8}"/>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4956048" cy="384048"/>
                        </a:xfrm>
                        <a:prstGeom prst="rect">
                          <a:avLst/>
                        </a:prstGeom>
                      </wps:spPr>
                      <wps:txbx>
                        <w:txbxContent>
                          <w:p w14:paraId="5EB06F66" w14:textId="77777777" w:rsidR="00602BCB" w:rsidRDefault="00602BCB" w:rsidP="00602BCB">
                            <w:pPr>
                              <w:rPr>
                                <w:rFonts w:ascii="IBM Plex Sans" w:hAnsi="IBM Plex Sans" w:cstheme="minorBidi"/>
                                <w:kern w:val="24"/>
                                <w:sz w:val="32"/>
                                <w:szCs w:val="32"/>
                              </w:rPr>
                            </w:pPr>
                            <w:r>
                              <w:rPr>
                                <w:rFonts w:ascii="IBM Plex Sans" w:hAnsi="IBM Plex Sans" w:cstheme="minorBidi"/>
                                <w:kern w:val="24"/>
                                <w:sz w:val="32"/>
                                <w:szCs w:val="32"/>
                              </w:rPr>
                              <w:t>Confidential IBM Consulting 2025</w:t>
                            </w:r>
                          </w:p>
                        </w:txbxContent>
                      </wps:txbx>
                      <wps:bodyPr vert="horz" lIns="0" tIns="0" rIns="0" bIns="0" rtlCol="0" anchor="b"/>
                    </wps:wsp>
                  </a:graphicData>
                </a:graphic>
              </wp:anchor>
            </w:drawing>
          </mc:Choice>
          <mc:Fallback>
            <w:pict>
              <v:rect w14:anchorId="4D72B16B" id="Footer Placeholder 2" o:spid="_x0000_s1027" style="position:absolute;margin-left:0;margin-top:1538.75pt;width:390.25pt;height:30.25pt;z-index:251658240;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" filled="f" stroked="f">
                <o:lock v:ext="edit" grouping="t"/>
                <v:textbox inset="0,0,0,0">
                  <w:txbxContent>
                    <w:p w14:paraId="5EB06F66" w14:textId="77777777" w:rsidR="00602BCB" w:rsidRDefault="00602BCB" w:rsidP="00602BCB">
                      <w:pPr>
                        <w:rPr>
                          <w:rFonts w:ascii="IBM Plex Sans" w:hAnsi="IBM Plex Sans" w:cstheme="minorBidi"/>
                          <w:kern w:val="24"/>
                          <w:sz w:val="32"/>
                          <w:szCs w:val="32"/>
                        </w:rPr>
                      </w:pPr>
                      <w:r>
                        <w:rPr>
                          <w:rFonts w:ascii="IBM Plex Sans" w:hAnsi="IBM Plex Sans" w:cstheme="minorBidi"/>
                          <w:kern w:val="24"/>
                          <w:sz w:val="32"/>
                          <w:szCs w:val="32"/>
                        </w:rPr>
                        <w:t>Confidential IBM Consulting 2025</w:t>
                      </w:r>
                    </w:p>
                  </w:txbxContent>
                </v:textbox>
              </v:rect>
            </w:pict>
          </mc:Fallback>
        </mc:AlternateContent>
      </w:r>
      <w:r w:rsidRPr="00932CC4">
        <w:rPr>
          <w:rFonts w:eastAsia="IBM Plex Sans"/>
        </w:rPr>
        <mc:AlternateContent>
          <mc:Choice Requires="wps">
            <w:drawing>
              <wp:anchor distT="0" distB="0" distL="114300" distR="114300" simplePos="0" relativeHeight="251658241" behindDoc="0" locked="0" layoutInCell="1" allowOverlap="1" wp14:anchorId="4B08927A" wp14:editId="22E82438">
                <wp:simplePos x="0" y="0"/>
                <wp:positionH relativeFrom="column">
                  <wp:posOffset>313509</wp:posOffset>
                </wp:positionH>
                <wp:positionV relativeFrom="paragraph">
                  <wp:posOffset>13741944</wp:posOffset>
                </wp:positionV>
                <wp:extent cx="6535851" cy="2538933"/>
                <wp:effectExtent l="0" t="0" r="0" b="0"/>
                <wp:wrapNone/>
                <wp:docPr id="39" name="Text Placeholder 6">
                  <a:extLst xmlns:a="http://schemas.openxmlformats.org/drawingml/2006/main">
                    <a:ext uri="{FF2B5EF4-FFF2-40B4-BE49-F238E27FC236}">
                      <a16:creationId xmlns:a16="http://schemas.microsoft.com/office/drawing/2014/main" id="{0D1E5F2A-8807-7FAD-DEC0-AC72426315B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35851" cy="2538933"/>
                        </a:xfrm>
                        <a:prstGeom prst="rect">
                          <a:avLst/>
                        </a:prstGeom>
                      </wps:spPr>
                      <wps:txbx>
                        <w:txbxContent>
                          <w:p w14:paraId="0EE78D1B" w14:textId="77777777" w:rsidR="00602BCB" w:rsidRDefault="00602BCB" w:rsidP="00602BCB">
                            <w:pPr>
                              <w:spacing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Asset Based consulting</w:t>
                            </w:r>
                          </w:p>
                          <w:p w14:paraId="641CFB6E"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Asset capability to be hosted on client hyperscalers AWS/Azure/IBM Cloud /Flexibility to utilize IBM assets as Saas or with existing client hyperscaler</w:t>
                            </w:r>
                          </w:p>
                          <w:p w14:paraId="46E694C2"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 xml:space="preserve">Integration capability with client existing frameworks </w:t>
                            </w:r>
                          </w:p>
                          <w:p w14:paraId="16E5C29A"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Capability to customize assets with IBM watsonx models or client preferred models</w:t>
                            </w:r>
                          </w:p>
                        </w:txbxContent>
                      </wps:txbx>
                      <wps:bodyPr lIns="0" tIns="0" rIns="0" bIns="0"/>
                    </wps:wsp>
                  </a:graphicData>
                </a:graphic>
              </wp:anchor>
            </w:drawing>
          </mc:Choice>
          <mc:Fallback>
            <w:pict>
              <v:shape w14:anchorId="4B08927A" id="Text Placeholder 6" o:spid="_x0000_s1028" type="#_x0000_t202" style="position:absolute;margin-left:24.7pt;margin-top:1082.05pt;width:514.65pt;height:199.9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" filled="f" stroked="f">
                <v:textbox inset="0,0,0,0">
                  <w:txbxContent>
                    <w:p w14:paraId="0EE78D1B" w14:textId="77777777" w:rsidR="00602BCB" w:rsidRDefault="00602BCB" w:rsidP="00602BCB">
                      <w:pPr>
                        <w:spacing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Asset Based consulting</w:t>
                      </w:r>
                    </w:p>
                    <w:p w14:paraId="641CFB6E"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 xml:space="preserve">Asset capability to be hosted on client </w:t>
                      </w:r>
                      <w:proofErr w:type="spellStart"/>
                      <w:r>
                        <w:rPr>
                          <w:rFonts w:ascii="IBM Plex Sans" w:eastAsiaTheme="majorEastAsia" w:hAnsi="IBM Plex Sans" w:cstheme="majorBidi"/>
                          <w:kern w:val="24"/>
                          <w:sz w:val="40"/>
                          <w:szCs w:val="40"/>
                        </w:rPr>
                        <w:t>hyperscalers</w:t>
                      </w:r>
                      <w:proofErr w:type="spellEnd"/>
                      <w:r>
                        <w:rPr>
                          <w:rFonts w:ascii="IBM Plex Sans" w:eastAsiaTheme="majorEastAsia" w:hAnsi="IBM Plex Sans" w:cstheme="majorBidi"/>
                          <w:kern w:val="24"/>
                          <w:sz w:val="40"/>
                          <w:szCs w:val="40"/>
                        </w:rPr>
                        <w:t xml:space="preserve"> AWS/Azure/IBM Cloud /Flexibility to utilize IBM assets as Saas or with existing client </w:t>
                      </w:r>
                      <w:proofErr w:type="spellStart"/>
                      <w:r>
                        <w:rPr>
                          <w:rFonts w:ascii="IBM Plex Sans" w:eastAsiaTheme="majorEastAsia" w:hAnsi="IBM Plex Sans" w:cstheme="majorBidi"/>
                          <w:kern w:val="24"/>
                          <w:sz w:val="40"/>
                          <w:szCs w:val="40"/>
                        </w:rPr>
                        <w:t>hyperscaler</w:t>
                      </w:r>
                      <w:proofErr w:type="spellEnd"/>
                    </w:p>
                    <w:p w14:paraId="46E694C2"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 xml:space="preserve">Integration capability with client existing frameworks </w:t>
                      </w:r>
                    </w:p>
                    <w:p w14:paraId="16E5C29A" w14:textId="77777777" w:rsidR="00602BCB" w:rsidRDefault="00602BCB" w:rsidP="00602BCB">
                      <w:pPr>
                        <w:numPr>
                          <w:ilvl w:val="0"/>
                          <w:numId w:val="24"/>
                        </w:numPr>
                        <w:spacing w:before="0" w:after="0"/>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 xml:space="preserve">Capability to customize assets with IBM </w:t>
                      </w:r>
                      <w:proofErr w:type="spellStart"/>
                      <w:r>
                        <w:rPr>
                          <w:rFonts w:ascii="IBM Plex Sans" w:eastAsiaTheme="majorEastAsia" w:hAnsi="IBM Plex Sans" w:cstheme="majorBidi"/>
                          <w:kern w:val="24"/>
                          <w:sz w:val="40"/>
                          <w:szCs w:val="40"/>
                        </w:rPr>
                        <w:t>watsonx</w:t>
                      </w:r>
                      <w:proofErr w:type="spellEnd"/>
                      <w:r>
                        <w:rPr>
                          <w:rFonts w:ascii="IBM Plex Sans" w:eastAsiaTheme="majorEastAsia" w:hAnsi="IBM Plex Sans" w:cstheme="majorBidi"/>
                          <w:kern w:val="24"/>
                          <w:sz w:val="40"/>
                          <w:szCs w:val="40"/>
                        </w:rPr>
                        <w:t xml:space="preserve"> models or client preferred models</w:t>
                      </w:r>
                    </w:p>
                  </w:txbxContent>
                </v:textbox>
              </v:shape>
            </w:pict>
          </mc:Fallback>
        </mc:AlternateContent>
      </w:r>
      <w:r w:rsidRPr="00C12490">
        <mc:AlternateContent>
          <mc:Choice Requires="wpg">
            <w:drawing>
              <wp:anchor distT="0" distB="0" distL="114300" distR="114300" simplePos="0" relativeHeight="251658259" behindDoc="0" locked="0" layoutInCell="1" allowOverlap="1" wp14:anchorId="3EC24046" wp14:editId="3D28A5A8">
                <wp:simplePos x="0" y="0"/>
                <wp:positionH relativeFrom="column">
                  <wp:posOffset>14186263</wp:posOffset>
                </wp:positionH>
                <wp:positionV relativeFrom="paragraph">
                  <wp:posOffset>-8890</wp:posOffset>
                </wp:positionV>
                <wp:extent cx="9066784" cy="11887225"/>
                <wp:effectExtent l="0" t="0" r="13970" b="12700"/>
                <wp:wrapNone/>
                <wp:docPr id="28" name="组合 27">
                  <a:extLst xmlns:a="http://schemas.openxmlformats.org/drawingml/2006/main">
                    <a:ext uri="{FF2B5EF4-FFF2-40B4-BE49-F238E27FC236}">
                      <a16:creationId xmlns:a16="http://schemas.microsoft.com/office/drawing/2014/main" id="{96ED8B0D-43CC-516C-024F-17C78E659EA4}"/>
                    </a:ext>
                  </a:extLst>
                </wp:docPr>
                <wp:cNvGraphicFramePr/>
                <a:graphic xmlns:a="http://schemas.openxmlformats.org/drawingml/2006/main">
                  <a:graphicData uri="http://schemas.microsoft.com/office/word/2010/wordprocessingGroup">
                    <wpg:wgp>
                      <wpg:cNvGrpSpPr/>
                      <wpg:grpSpPr>
                        <a:xfrm>
                          <a:off x="0" y="0"/>
                          <a:ext cx="9066784" cy="11887225"/>
                          <a:chOff x="7093267" y="-2597516"/>
                          <a:chExt cx="9067965" cy="11888773"/>
                        </a:xfrm>
                      </wpg:grpSpPr>
                      <wpg:grpSp>
                        <wpg:cNvPr id="1317273711" name="组合 6">
                          <a:extLst>
                            <a:ext uri="{FF2B5EF4-FFF2-40B4-BE49-F238E27FC236}">
                              <a16:creationId xmlns:a16="http://schemas.microsoft.com/office/drawing/2014/main" id="{AC036F47-21D0-EBEC-057B-23517FBD439E}"/>
                            </a:ext>
                          </a:extLst>
                        </wpg:cNvPr>
                        <wpg:cNvGrpSpPr/>
                        <wpg:grpSpPr>
                          <a:xfrm>
                            <a:off x="7203839" y="-2597516"/>
                            <a:ext cx="8847984" cy="11626852"/>
                            <a:chOff x="7203839" y="-2597516"/>
                            <a:chExt cx="8847984" cy="11626852"/>
                          </a:xfrm>
                        </wpg:grpSpPr>
                        <wpg:grpSp>
                          <wpg:cNvPr id="145261413" name="组合 40">
                            <a:extLst>
                              <a:ext uri="{FF2B5EF4-FFF2-40B4-BE49-F238E27FC236}">
                                <a16:creationId xmlns:a16="http://schemas.microsoft.com/office/drawing/2014/main" id="{BD7F3DFC-268D-B4F5-C68B-687C2BCB6EC0}"/>
                              </a:ext>
                            </a:extLst>
                          </wpg:cNvPr>
                          <wpg:cNvGrpSpPr/>
                          <wpg:grpSpPr>
                            <a:xfrm>
                              <a:off x="7203839" y="-2597516"/>
                              <a:ext cx="8847984" cy="11626852"/>
                              <a:chOff x="7203839" y="-2445892"/>
                              <a:chExt cx="8331503" cy="10948160"/>
                            </a:xfrm>
                          </wpg:grpSpPr>
                          <wpg:grpSp>
                            <wpg:cNvPr id="1665264457" name="组合 25">
                              <a:extLst>
                                <a:ext uri="{FF2B5EF4-FFF2-40B4-BE49-F238E27FC236}">
                                  <a16:creationId xmlns:a16="http://schemas.microsoft.com/office/drawing/2014/main" id="{F42E8E68-5567-43CB-B89A-EBB9622E75A9}"/>
                                </a:ext>
                              </a:extLst>
                            </wpg:cNvPr>
                            <wpg:cNvGrpSpPr/>
                            <wpg:grpSpPr>
                              <a:xfrm>
                                <a:off x="7340785" y="423544"/>
                                <a:ext cx="8078386" cy="8078724"/>
                                <a:chOff x="7340784" y="423544"/>
                                <a:chExt cx="5520612" cy="5520844"/>
                              </a:xfrm>
                            </wpg:grpSpPr>
                            <wps:wsp>
                              <wps:cNvPr id="1293832507" name="Freeform: Shape 140">
                                <a:extLst>
                                  <a:ext uri="{FF2B5EF4-FFF2-40B4-BE49-F238E27FC236}">
                                    <a16:creationId xmlns:a16="http://schemas.microsoft.com/office/drawing/2014/main" id="{96F286BF-005C-FF29-1769-1426952644CE}"/>
                                  </a:ext>
                                </a:extLst>
                              </wps:cNvPr>
                              <wps:cNvSpPr/>
                              <wps:spPr>
                                <a:xfrm>
                                  <a:off x="10060557" y="423544"/>
                                  <a:ext cx="2434286" cy="2800837"/>
                                </a:xfrm>
                                <a:custGeom>
                                  <a:avLst/>
                                  <a:gdLst>
                                    <a:gd name="connsiteX0" fmla="*/ 42863 w 2466975"/>
                                    <a:gd name="connsiteY0" fmla="*/ 42863 h 2838450"/>
                                    <a:gd name="connsiteX1" fmla="*/ 2429828 w 2466975"/>
                                    <a:gd name="connsiteY1" fmla="*/ 1421130 h 2838450"/>
                                    <a:gd name="connsiteX2" fmla="*/ 42863 w 2466975"/>
                                    <a:gd name="connsiteY2" fmla="*/ 2799398 h 2838450"/>
                                    <a:gd name="connsiteX3" fmla="*/ 42863 w 2466975"/>
                                    <a:gd name="connsiteY3" fmla="*/ 42863 h 2838450"/>
                                    <a:gd name="connsiteX4" fmla="*/ 42863 w 2466975"/>
                                    <a:gd name="connsiteY4" fmla="*/ 42863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66975" h="2838450">
                                      <a:moveTo>
                                        <a:pt x="42863" y="42863"/>
                                      </a:moveTo>
                                      <a:cubicBezTo>
                                        <a:pt x="1027747" y="42863"/>
                                        <a:pt x="1937385" y="568643"/>
                                        <a:pt x="2429828" y="1421130"/>
                                      </a:cubicBezTo>
                                      <a:lnTo>
                                        <a:pt x="42863" y="2799398"/>
                                      </a:lnTo>
                                      <a:lnTo>
                                        <a:pt x="42863" y="42863"/>
                                      </a:lnTo>
                                      <a:lnTo>
                                        <a:pt x="42863" y="42863"/>
                                      </a:lnTo>
                                      <a:close/>
                                    </a:path>
                                  </a:pathLst>
                                </a:custGeom>
                                <a:solidFill>
                                  <a:srgbClr val="0F6DFF"/>
                                </a:solidFill>
                                <a:ln w="38100" cap="flat">
                                  <a:solidFill>
                                    <a:schemeClr val="bg2"/>
                                  </a:solidFill>
                                  <a:prstDash val="solid"/>
                                  <a:miter/>
                                </a:ln>
                              </wps:spPr>
                              <wps:bodyPr rtlCol="0" anchor="ctr"/>
                            </wps:wsp>
                            <wps:wsp>
                              <wps:cNvPr id="652255147" name="Freeform: Shape 141">
                                <a:extLst>
                                  <a:ext uri="{FF2B5EF4-FFF2-40B4-BE49-F238E27FC236}">
                                    <a16:creationId xmlns:a16="http://schemas.microsoft.com/office/drawing/2014/main" id="{3E28D9C2-F819-FC27-F201-C446C027F733}"/>
                                  </a:ext>
                                </a:extLst>
                              </wps:cNvPr>
                              <wps:cNvSpPr/>
                              <wps:spPr>
                                <a:xfrm>
                                  <a:off x="10060557" y="1783547"/>
                                  <a:ext cx="2800839" cy="2800837"/>
                                </a:xfrm>
                                <a:custGeom>
                                  <a:avLst/>
                                  <a:gdLst>
                                    <a:gd name="connsiteX0" fmla="*/ 2429828 w 2838450"/>
                                    <a:gd name="connsiteY0" fmla="*/ 42863 h 2838450"/>
                                    <a:gd name="connsiteX1" fmla="*/ 2429828 w 2838450"/>
                                    <a:gd name="connsiteY1" fmla="*/ 2799398 h 2838450"/>
                                    <a:gd name="connsiteX2" fmla="*/ 42863 w 2838450"/>
                                    <a:gd name="connsiteY2" fmla="*/ 1421130 h 2838450"/>
                                    <a:gd name="connsiteX3" fmla="*/ 2429828 w 2838450"/>
                                    <a:gd name="connsiteY3" fmla="*/ 42863 h 2838450"/>
                                    <a:gd name="connsiteX4" fmla="*/ 2429828 w 2838450"/>
                                    <a:gd name="connsiteY4" fmla="*/ 42863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38450" h="2838450">
                                      <a:moveTo>
                                        <a:pt x="2429828" y="42863"/>
                                      </a:moveTo>
                                      <a:cubicBezTo>
                                        <a:pt x="2922270" y="895350"/>
                                        <a:pt x="2922270" y="1945958"/>
                                        <a:pt x="2429828" y="2799398"/>
                                      </a:cubicBezTo>
                                      <a:lnTo>
                                        <a:pt x="42863" y="1421130"/>
                                      </a:lnTo>
                                      <a:lnTo>
                                        <a:pt x="2429828" y="42863"/>
                                      </a:lnTo>
                                      <a:lnTo>
                                        <a:pt x="2429828" y="42863"/>
                                      </a:lnTo>
                                      <a:close/>
                                    </a:path>
                                  </a:pathLst>
                                </a:custGeom>
                                <a:solidFill>
                                  <a:schemeClr val="accent2"/>
                                </a:solidFill>
                                <a:ln w="38100" cap="flat">
                                  <a:solidFill>
                                    <a:schemeClr val="bg2"/>
                                  </a:solidFill>
                                  <a:prstDash val="solid"/>
                                  <a:miter/>
                                </a:ln>
                              </wps:spPr>
                              <wps:bodyPr rtlCol="0" anchor="ctr"/>
                            </wps:wsp>
                            <wps:wsp>
                              <wps:cNvPr id="1987982616" name="Freeform: Shape 142">
                                <a:extLst>
                                  <a:ext uri="{FF2B5EF4-FFF2-40B4-BE49-F238E27FC236}">
                                    <a16:creationId xmlns:a16="http://schemas.microsoft.com/office/drawing/2014/main" id="{1EE76AC4-7676-798B-747A-D34C4E5DA6E8}"/>
                                  </a:ext>
                                </a:extLst>
                              </wps:cNvPr>
                              <wps:cNvSpPr/>
                              <wps:spPr>
                                <a:xfrm>
                                  <a:off x="10060557" y="3143551"/>
                                  <a:ext cx="2434286" cy="2800837"/>
                                </a:xfrm>
                                <a:custGeom>
                                  <a:avLst/>
                                  <a:gdLst>
                                    <a:gd name="connsiteX0" fmla="*/ 2429828 w 2466975"/>
                                    <a:gd name="connsiteY0" fmla="*/ 1421130 h 2838450"/>
                                    <a:gd name="connsiteX1" fmla="*/ 42863 w 2466975"/>
                                    <a:gd name="connsiteY1" fmla="*/ 2799398 h 2838450"/>
                                    <a:gd name="connsiteX2" fmla="*/ 42863 w 2466975"/>
                                    <a:gd name="connsiteY2" fmla="*/ 42863 h 2838450"/>
                                    <a:gd name="connsiteX3" fmla="*/ 2429828 w 2466975"/>
                                    <a:gd name="connsiteY3" fmla="*/ 1421130 h 2838450"/>
                                    <a:gd name="connsiteX4" fmla="*/ 2429828 w 2466975"/>
                                    <a:gd name="connsiteY4" fmla="*/ 1421130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66975" h="2838450">
                                      <a:moveTo>
                                        <a:pt x="2429828" y="1421130"/>
                                      </a:moveTo>
                                      <a:cubicBezTo>
                                        <a:pt x="1937385" y="2273617"/>
                                        <a:pt x="1027747" y="2799398"/>
                                        <a:pt x="42863" y="2799398"/>
                                      </a:cubicBezTo>
                                      <a:lnTo>
                                        <a:pt x="42863" y="42863"/>
                                      </a:lnTo>
                                      <a:lnTo>
                                        <a:pt x="2429828" y="1421130"/>
                                      </a:lnTo>
                                      <a:lnTo>
                                        <a:pt x="2429828" y="1421130"/>
                                      </a:lnTo>
                                      <a:close/>
                                    </a:path>
                                  </a:pathLst>
                                </a:custGeom>
                                <a:solidFill>
                                  <a:schemeClr val="accent1"/>
                                </a:solidFill>
                                <a:ln w="38100" cap="flat">
                                  <a:solidFill>
                                    <a:schemeClr val="bg2"/>
                                  </a:solidFill>
                                  <a:prstDash val="solid"/>
                                  <a:miter/>
                                </a:ln>
                              </wps:spPr>
                              <wps:bodyPr rtlCol="0" anchor="ctr"/>
                            </wps:wsp>
                            <wps:wsp>
                              <wps:cNvPr id="567525894" name="Freeform: Shape 143">
                                <a:extLst>
                                  <a:ext uri="{FF2B5EF4-FFF2-40B4-BE49-F238E27FC236}">
                                    <a16:creationId xmlns:a16="http://schemas.microsoft.com/office/drawing/2014/main" id="{0BB29EEA-EB71-ED40-4F87-F0F8C438B4E1}"/>
                                  </a:ext>
                                </a:extLst>
                              </wps:cNvPr>
                              <wps:cNvSpPr/>
                              <wps:spPr>
                                <a:xfrm>
                                  <a:off x="7705221" y="3142611"/>
                                  <a:ext cx="2434286" cy="2800837"/>
                                </a:xfrm>
                                <a:custGeom>
                                  <a:avLst/>
                                  <a:gdLst>
                                    <a:gd name="connsiteX0" fmla="*/ 2429828 w 2466975"/>
                                    <a:gd name="connsiteY0" fmla="*/ 2799398 h 2838450"/>
                                    <a:gd name="connsiteX1" fmla="*/ 42863 w 2466975"/>
                                    <a:gd name="connsiteY1" fmla="*/ 1421130 h 2838450"/>
                                    <a:gd name="connsiteX2" fmla="*/ 2429828 w 2466975"/>
                                    <a:gd name="connsiteY2" fmla="*/ 42863 h 2838450"/>
                                    <a:gd name="connsiteX3" fmla="*/ 2429828 w 2466975"/>
                                    <a:gd name="connsiteY3" fmla="*/ 2799398 h 2838450"/>
                                    <a:gd name="connsiteX4" fmla="*/ 2429828 w 2466975"/>
                                    <a:gd name="connsiteY4" fmla="*/ 2799398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66975" h="2838450">
                                      <a:moveTo>
                                        <a:pt x="2429828" y="2799398"/>
                                      </a:moveTo>
                                      <a:cubicBezTo>
                                        <a:pt x="1444943" y="2799398"/>
                                        <a:pt x="535305" y="2273618"/>
                                        <a:pt x="42863" y="1421130"/>
                                      </a:cubicBezTo>
                                      <a:lnTo>
                                        <a:pt x="2429828" y="42863"/>
                                      </a:lnTo>
                                      <a:lnTo>
                                        <a:pt x="2429828" y="2799398"/>
                                      </a:lnTo>
                                      <a:lnTo>
                                        <a:pt x="2429828" y="2799398"/>
                                      </a:lnTo>
                                      <a:close/>
                                    </a:path>
                                  </a:pathLst>
                                </a:custGeom>
                                <a:solidFill>
                                  <a:schemeClr val="accent2"/>
                                </a:solidFill>
                                <a:ln w="38100" cap="flat">
                                  <a:solidFill>
                                    <a:schemeClr val="bg2"/>
                                  </a:solidFill>
                                  <a:prstDash val="solid"/>
                                  <a:miter/>
                                </a:ln>
                              </wps:spPr>
                              <wps:bodyPr rtlCol="0" anchor="ctr"/>
                            </wps:wsp>
                            <wps:wsp>
                              <wps:cNvPr id="1128733256" name="Freeform: Shape 144">
                                <a:extLst>
                                  <a:ext uri="{FF2B5EF4-FFF2-40B4-BE49-F238E27FC236}">
                                    <a16:creationId xmlns:a16="http://schemas.microsoft.com/office/drawing/2014/main" id="{2B55F4D6-8E92-8A36-EABD-587B976EAA45}"/>
                                  </a:ext>
                                </a:extLst>
                              </wps:cNvPr>
                              <wps:cNvSpPr/>
                              <wps:spPr>
                                <a:xfrm>
                                  <a:off x="7340784" y="1783547"/>
                                  <a:ext cx="2800839" cy="2800837"/>
                                </a:xfrm>
                                <a:custGeom>
                                  <a:avLst/>
                                  <a:gdLst>
                                    <a:gd name="connsiteX0" fmla="*/ 412194 w 2838450"/>
                                    <a:gd name="connsiteY0" fmla="*/ 2799398 h 2838450"/>
                                    <a:gd name="connsiteX1" fmla="*/ 412194 w 2838450"/>
                                    <a:gd name="connsiteY1" fmla="*/ 42863 h 2838450"/>
                                    <a:gd name="connsiteX2" fmla="*/ 2799159 w 2838450"/>
                                    <a:gd name="connsiteY2" fmla="*/ 1421130 h 2838450"/>
                                    <a:gd name="connsiteX3" fmla="*/ 412194 w 2838450"/>
                                    <a:gd name="connsiteY3" fmla="*/ 2799398 h 2838450"/>
                                    <a:gd name="connsiteX4" fmla="*/ 412194 w 2838450"/>
                                    <a:gd name="connsiteY4" fmla="*/ 2799398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838450" h="2838450">
                                      <a:moveTo>
                                        <a:pt x="412194" y="2799398"/>
                                      </a:moveTo>
                                      <a:cubicBezTo>
                                        <a:pt x="-80248" y="1946910"/>
                                        <a:pt x="-80248" y="896303"/>
                                        <a:pt x="412194" y="42863"/>
                                      </a:cubicBezTo>
                                      <a:lnTo>
                                        <a:pt x="2799159" y="1421130"/>
                                      </a:lnTo>
                                      <a:lnTo>
                                        <a:pt x="412194" y="2799398"/>
                                      </a:lnTo>
                                      <a:lnTo>
                                        <a:pt x="412194" y="2799398"/>
                                      </a:lnTo>
                                      <a:close/>
                                    </a:path>
                                  </a:pathLst>
                                </a:custGeom>
                                <a:solidFill>
                                  <a:schemeClr val="accent1"/>
                                </a:solidFill>
                                <a:ln w="38100" cap="flat">
                                  <a:solidFill>
                                    <a:schemeClr val="bg2"/>
                                  </a:solidFill>
                                  <a:prstDash val="solid"/>
                                  <a:miter/>
                                </a:ln>
                              </wps:spPr>
                              <wps:bodyPr rtlCol="0" anchor="ctr"/>
                            </wps:wsp>
                            <wps:wsp>
                              <wps:cNvPr id="1817729643" name="Freeform: Shape 145">
                                <a:extLst>
                                  <a:ext uri="{FF2B5EF4-FFF2-40B4-BE49-F238E27FC236}">
                                    <a16:creationId xmlns:a16="http://schemas.microsoft.com/office/drawing/2014/main" id="{8BA903A8-3E71-4031-8C9B-C8B15F37BB19}"/>
                                  </a:ext>
                                </a:extLst>
                              </wps:cNvPr>
                              <wps:cNvSpPr/>
                              <wps:spPr>
                                <a:xfrm>
                                  <a:off x="7705221" y="423544"/>
                                  <a:ext cx="2434286" cy="2800837"/>
                                </a:xfrm>
                                <a:custGeom>
                                  <a:avLst/>
                                  <a:gdLst>
                                    <a:gd name="connsiteX0" fmla="*/ 42863 w 2466975"/>
                                    <a:gd name="connsiteY0" fmla="*/ 1421130 h 2838450"/>
                                    <a:gd name="connsiteX1" fmla="*/ 2429828 w 2466975"/>
                                    <a:gd name="connsiteY1" fmla="*/ 42863 h 2838450"/>
                                    <a:gd name="connsiteX2" fmla="*/ 2429828 w 2466975"/>
                                    <a:gd name="connsiteY2" fmla="*/ 2799398 h 2838450"/>
                                    <a:gd name="connsiteX3" fmla="*/ 42863 w 2466975"/>
                                    <a:gd name="connsiteY3" fmla="*/ 1421130 h 2838450"/>
                                    <a:gd name="connsiteX4" fmla="*/ 42863 w 2466975"/>
                                    <a:gd name="connsiteY4" fmla="*/ 1421130 h 28384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466975" h="2838450">
                                      <a:moveTo>
                                        <a:pt x="42863" y="1421130"/>
                                      </a:moveTo>
                                      <a:cubicBezTo>
                                        <a:pt x="535305" y="568643"/>
                                        <a:pt x="1444943" y="42863"/>
                                        <a:pt x="2429828" y="42863"/>
                                      </a:cubicBezTo>
                                      <a:lnTo>
                                        <a:pt x="2429828" y="2799398"/>
                                      </a:lnTo>
                                      <a:lnTo>
                                        <a:pt x="42863" y="1421130"/>
                                      </a:lnTo>
                                      <a:lnTo>
                                        <a:pt x="42863" y="1421130"/>
                                      </a:lnTo>
                                      <a:close/>
                                    </a:path>
                                  </a:pathLst>
                                </a:custGeom>
                                <a:solidFill>
                                  <a:schemeClr val="accent2"/>
                                </a:solidFill>
                                <a:ln w="38100" cap="flat">
                                  <a:solidFill>
                                    <a:schemeClr val="bg2"/>
                                  </a:solidFill>
                                  <a:prstDash val="solid"/>
                                  <a:miter/>
                                </a:ln>
                              </wps:spPr>
                              <wps:bodyPr rtlCol="0" anchor="ctr"/>
                            </wps:wsp>
                            <wps:wsp>
                              <wps:cNvPr id="469704082" name="Oval 469704082">
                                <a:extLst>
                                  <a:ext uri="{FF2B5EF4-FFF2-40B4-BE49-F238E27FC236}">
                                    <a16:creationId xmlns:a16="http://schemas.microsoft.com/office/drawing/2014/main" id="{801580F0-CBA5-6BF9-CF70-8093EF838262}"/>
                                  </a:ext>
                                </a:extLst>
                              </wps:cNvPr>
                              <wps:cNvSpPr/>
                              <wps:spPr>
                                <a:xfrm>
                                  <a:off x="8811238" y="1894115"/>
                                  <a:ext cx="2579704" cy="2579703"/>
                                </a:xfrm>
                                <a:prstGeom prst="ellipse">
                                  <a:avLst/>
                                </a:prstGeom>
                                <a:solidFill>
                                  <a:schemeClr val="accent1">
                                    <a:lumMod val="20000"/>
                                    <a:lumOff val="80000"/>
                                  </a:schemeClr>
                                </a:solidFill>
                                <a:ln w="38100" cap="flat">
                                  <a:noFill/>
                                  <a:prstDash val="solid"/>
                                  <a:miter/>
                                </a:ln>
                                <a:effectLst/>
                              </wps:spPr>
                              <wps:bodyPr rot="0" spcFirstLastPara="0" vert="horz" wrap="square" lIns="152380" tIns="76190" rIns="152380" bIns="76190" numCol="1" spcCol="0" rtlCol="0" fromWordArt="0" anchor="ctr" anchorCtr="0" forceAA="0" compatLnSpc="1">
                                <a:prstTxWarp prst="textNoShape">
                                  <a:avLst/>
                                </a:prstTxWarp>
                                <a:noAutofit/>
                              </wps:bodyPr>
                            </wps:wsp>
                          </wpg:grpSp>
                          <wps:wsp>
                            <wps:cNvPr id="1581748873" name="Rectangle 1581748873">
                              <a:extLst>
                                <a:ext uri="{FF2B5EF4-FFF2-40B4-BE49-F238E27FC236}">
                                  <a16:creationId xmlns:a16="http://schemas.microsoft.com/office/drawing/2014/main" id="{2ADC5074-6D6F-6A73-DD7A-520098A388B3}"/>
                                </a:ext>
                              </a:extLst>
                            </wps:cNvPr>
                            <wps:cNvSpPr>
                              <a:spLocks/>
                            </wps:cNvSpPr>
                            <wps:spPr>
                              <a:xfrm rot="5400000">
                                <a:off x="8463216" y="590502"/>
                                <a:ext cx="7309460" cy="1236672"/>
                              </a:xfrm>
                              <a:prstGeom prst="rect">
                                <a:avLst/>
                              </a:prstGeom>
                              <a:noFill/>
                            </wps:spPr>
                            <wps:txbx>
                              <w:txbxContent>
                                <w:p w14:paraId="1FE3B6CC"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 </w:t>
                                  </w:r>
                                  <w:r>
                                    <w:rPr>
                                      <w:rFonts w:ascii="IBM Plex Sans Medm" w:hAnsi="IBM Plex Sans Medm" w:cstheme="minorBidi"/>
                                      <w:b/>
                                      <w:bCs/>
                                      <w:color w:val="FFFFFF" w:themeColor="background1"/>
                                      <w:kern w:val="24"/>
                                      <w:sz w:val="56"/>
                                      <w:szCs w:val="56"/>
                                    </w:rPr>
                                    <w:t xml:space="preserve">Quality Engineering </w:t>
                                  </w:r>
                                </w:p>
                                <w:p w14:paraId="7DE866A7" w14:textId="77777777" w:rsidR="00602BCB" w:rsidRDefault="00602BCB" w:rsidP="00602BCB">
                                  <w:pPr>
                                    <w:jc w:val="center"/>
                                    <w:rPr>
                                      <w:rFonts w:ascii="IBM Plex Sans Medm" w:hAnsi="IBM Plex Sans Medm" w:cstheme="minorBidi"/>
                                      <w:b/>
                                      <w:bCs/>
                                      <w:color w:val="FFFFFF" w:themeColor="background1"/>
                                      <w:kern w:val="24"/>
                                      <w:sz w:val="56"/>
                                      <w:szCs w:val="56"/>
                                    </w:rPr>
                                  </w:pPr>
                                  <w:r>
                                    <w:rPr>
                                      <w:rFonts w:ascii="IBM Plex Sans Medm" w:hAnsi="IBM Plex Sans Medm" w:cstheme="minorBidi"/>
                                      <w:b/>
                                      <w:bCs/>
                                      <w:color w:val="FFFFFF" w:themeColor="background1"/>
                                      <w:kern w:val="24"/>
                                      <w:sz w:val="56"/>
                                      <w:szCs w:val="56"/>
                                    </w:rPr>
                                    <w:t>Types</w:t>
                                  </w:r>
                                </w:p>
                              </w:txbxContent>
                            </wps:txbx>
                            <wps:bodyPr spcFirstLastPara="1" wrap="square" lIns="121904" tIns="60952" rIns="121904" bIns="60952" numCol="1">
                              <a:prstTxWarp prst="textArchUp">
                                <a:avLst>
                                  <a:gd name="adj" fmla="val 16552806"/>
                                </a:avLst>
                              </a:prstTxWarp>
                              <a:spAutoFit/>
                            </wps:bodyPr>
                          </wps:wsp>
                          <wps:wsp>
                            <wps:cNvPr id="1191854997" name="Rectangle 1191854997">
                              <a:extLst>
                                <a:ext uri="{FF2B5EF4-FFF2-40B4-BE49-F238E27FC236}">
                                  <a16:creationId xmlns:a16="http://schemas.microsoft.com/office/drawing/2014/main" id="{92234DA0-A5FD-5E26-C12C-85FEB681187C}"/>
                                </a:ext>
                              </a:extLst>
                            </wps:cNvPr>
                            <wps:cNvSpPr>
                              <a:spLocks/>
                            </wps:cNvSpPr>
                            <wps:spPr>
                              <a:xfrm rot="9042838">
                                <a:off x="8202698" y="1476484"/>
                                <a:ext cx="6724008" cy="1236672"/>
                              </a:xfrm>
                              <a:prstGeom prst="rect">
                                <a:avLst/>
                              </a:prstGeom>
                              <a:noFill/>
                            </wps:spPr>
                            <wps:txbx>
                              <w:txbxContent>
                                <w:p w14:paraId="2701713E"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Strong ecosystem </w:t>
                                  </w:r>
                                </w:p>
                                <w:p w14:paraId="7D6215B6"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partnerships</w:t>
                                  </w:r>
                                </w:p>
                              </w:txbxContent>
                            </wps:txbx>
                            <wps:bodyPr spcFirstLastPara="1" wrap="square" lIns="121904" tIns="60952" rIns="121904" bIns="60952" numCol="1" anchor="ctr">
                              <a:prstTxWarp prst="textArchUp">
                                <a:avLst>
                                  <a:gd name="adj" fmla="val 16552806"/>
                                </a:avLst>
                              </a:prstTxWarp>
                              <a:spAutoFit/>
                            </wps:bodyPr>
                          </wps:wsp>
                          <wps:wsp>
                            <wps:cNvPr id="407593408" name="Rectangle 407593408">
                              <a:extLst>
                                <a:ext uri="{FF2B5EF4-FFF2-40B4-BE49-F238E27FC236}">
                                  <a16:creationId xmlns:a16="http://schemas.microsoft.com/office/drawing/2014/main" id="{CB591164-F1A5-98C2-7BE9-91A4792171D2}"/>
                                </a:ext>
                              </a:extLst>
                            </wps:cNvPr>
                            <wps:cNvSpPr>
                              <a:spLocks/>
                            </wps:cNvSpPr>
                            <wps:spPr>
                              <a:xfrm rot="12592715">
                                <a:off x="7203839" y="1261967"/>
                                <a:ext cx="6951252" cy="1174479"/>
                              </a:xfrm>
                              <a:prstGeom prst="rect">
                                <a:avLst/>
                              </a:prstGeom>
                              <a:noFill/>
                            </wps:spPr>
                            <wps:txbx>
                              <w:txbxContent>
                                <w:p w14:paraId="7843564F" w14:textId="554B2580" w:rsidR="00602BCB" w:rsidRDefault="00C15E3E" w:rsidP="00602BCB">
                                  <w:pPr>
                                    <w:jc w:val="center"/>
                                    <w:rPr>
                                      <w:rFonts w:ascii="IBM Plex Sans Medm" w:hAnsi="IBM Plex Sans Medm" w:cstheme="minorBidi"/>
                                      <w:b/>
                                      <w:bCs/>
                                      <w:color w:val="42474C" w:themeColor="background2"/>
                                      <w:kern w:val="24"/>
                                      <w:sz w:val="52"/>
                                      <w:szCs w:val="52"/>
                                    </w:rPr>
                                  </w:pPr>
                                  <w:r>
                                    <w:rPr>
                                      <w:rFonts w:ascii="IBM Plex Sans Medm" w:hAnsi="IBM Plex Sans Medm" w:cstheme="minorBidi"/>
                                      <w:b/>
                                      <w:bCs/>
                                      <w:color w:val="42474C" w:themeColor="background2"/>
                                      <w:kern w:val="24"/>
                                      <w:sz w:val="52"/>
                                      <w:szCs w:val="52"/>
                                    </w:rPr>
                                    <w:t xml:space="preserve"> </w:t>
                                  </w:r>
                                  <w:r w:rsidR="00602BCB">
                                    <w:rPr>
                                      <w:rFonts w:ascii="IBM Plex Sans Medm" w:hAnsi="IBM Plex Sans Medm" w:cstheme="minorBidi"/>
                                      <w:b/>
                                      <w:bCs/>
                                      <w:color w:val="42474C" w:themeColor="background2"/>
                                      <w:kern w:val="24"/>
                                      <w:sz w:val="52"/>
                                      <w:szCs w:val="52"/>
                                    </w:rPr>
                                    <w:t xml:space="preserve">Skills &amp; Delivery </w:t>
                                  </w:r>
                                </w:p>
                                <w:p w14:paraId="4A531F77" w14:textId="4593E0E3" w:rsidR="00602BCB" w:rsidRDefault="00C15E3E" w:rsidP="00602BCB">
                                  <w:pPr>
                                    <w:jc w:val="center"/>
                                    <w:rPr>
                                      <w:rFonts w:ascii="IBM Plex Sans Medm" w:hAnsi="IBM Plex Sans Medm" w:cstheme="minorBidi"/>
                                      <w:b/>
                                      <w:bCs/>
                                      <w:color w:val="42474C" w:themeColor="background2"/>
                                      <w:kern w:val="24"/>
                                      <w:sz w:val="52"/>
                                      <w:szCs w:val="52"/>
                                    </w:rPr>
                                  </w:pPr>
                                  <w:r>
                                    <w:rPr>
                                      <w:rFonts w:ascii="IBM Plex Sans Medm" w:hAnsi="IBM Plex Sans Medm" w:cstheme="minorBidi"/>
                                      <w:b/>
                                      <w:bCs/>
                                      <w:color w:val="42474C" w:themeColor="background2"/>
                                      <w:kern w:val="24"/>
                                      <w:sz w:val="52"/>
                                      <w:szCs w:val="52"/>
                                    </w:rPr>
                                    <w:t xml:space="preserve"> </w:t>
                                  </w:r>
                                  <w:r w:rsidR="00602BCB">
                                    <w:rPr>
                                      <w:rFonts w:ascii="IBM Plex Sans Medm" w:hAnsi="IBM Plex Sans Medm" w:cstheme="minorBidi"/>
                                      <w:b/>
                                      <w:bCs/>
                                      <w:color w:val="42474C" w:themeColor="background2"/>
                                      <w:kern w:val="24"/>
                                      <w:sz w:val="52"/>
                                      <w:szCs w:val="52"/>
                                    </w:rPr>
                                    <w:t>Excellence</w:t>
                                  </w:r>
                                </w:p>
                              </w:txbxContent>
                            </wps:txbx>
                            <wps:bodyPr spcFirstLastPara="1" wrap="square" lIns="121904" tIns="60952" rIns="121904" bIns="60952" numCol="1">
                              <a:prstTxWarp prst="textArchUp">
                                <a:avLst>
                                  <a:gd name="adj" fmla="val 16552806"/>
                                </a:avLst>
                              </a:prstTxWarp>
                              <a:spAutoFit/>
                            </wps:bodyPr>
                          </wps:wsp>
                          <wps:wsp>
                            <wps:cNvPr id="236443323" name="Rectangle 236443323">
                              <a:extLst>
                                <a:ext uri="{FF2B5EF4-FFF2-40B4-BE49-F238E27FC236}">
                                  <a16:creationId xmlns:a16="http://schemas.microsoft.com/office/drawing/2014/main" id="{78575D12-63D3-77BA-56B7-DB54D3BF0FDD}"/>
                                </a:ext>
                              </a:extLst>
                            </wps:cNvPr>
                            <wps:cNvSpPr>
                              <a:spLocks/>
                            </wps:cNvSpPr>
                            <wps:spPr>
                              <a:xfrm rot="19832107">
                                <a:off x="8580237" y="1609140"/>
                                <a:ext cx="5931643" cy="1236672"/>
                              </a:xfrm>
                              <a:prstGeom prst="rect">
                                <a:avLst/>
                              </a:prstGeom>
                              <a:noFill/>
                            </wps:spPr>
                            <wps:txbx>
                              <w:txbxContent>
                                <w:p w14:paraId="5F9FD3D4"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Unique assets &amp;</w:t>
                                  </w:r>
                                </w:p>
                                <w:p w14:paraId="118E48DB"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accelerators</w:t>
                                  </w:r>
                                </w:p>
                              </w:txbxContent>
                            </wps:txbx>
                            <wps:bodyPr spcFirstLastPara="1" wrap="square" lIns="121904" tIns="60952" rIns="121904" bIns="60952" numCol="1">
                              <a:prstTxWarp prst="textArchDown">
                                <a:avLst/>
                              </a:prstTxWarp>
                              <a:spAutoFit/>
                            </wps:bodyPr>
                          </wps:wsp>
                          <wps:wsp>
                            <wps:cNvPr id="2135614846" name="Rectangle 2135614846">
                              <a:extLst>
                                <a:ext uri="{FF2B5EF4-FFF2-40B4-BE49-F238E27FC236}">
                                  <a16:creationId xmlns:a16="http://schemas.microsoft.com/office/drawing/2014/main" id="{57E550D3-E024-3474-42BA-347B6722E97C}"/>
                                </a:ext>
                              </a:extLst>
                            </wps:cNvPr>
                            <wps:cNvSpPr>
                              <a:spLocks/>
                            </wps:cNvSpPr>
                            <wps:spPr>
                              <a:xfrm rot="1743066">
                                <a:off x="7956178" y="-575"/>
                                <a:ext cx="7579164" cy="1236672"/>
                              </a:xfrm>
                              <a:prstGeom prst="rect">
                                <a:avLst/>
                              </a:prstGeom>
                              <a:noFill/>
                            </wps:spPr>
                            <wps:txbx>
                              <w:txbxContent>
                                <w:p w14:paraId="4881A073"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Hyper-scaler </w:t>
                                  </w:r>
                                </w:p>
                                <w:p w14:paraId="2FF538FD"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flexibility</w:t>
                                  </w:r>
                                </w:p>
                              </w:txbxContent>
                            </wps:txbx>
                            <wps:bodyPr spcFirstLastPara="1" wrap="square" lIns="121904" tIns="60952" rIns="121904" bIns="60952" numCol="1">
                              <a:prstTxWarp prst="textArchDown">
                                <a:avLst/>
                              </a:prstTxWarp>
                              <a:spAutoFit/>
                            </wps:bodyPr>
                          </wps:wsp>
                        </wpg:grpSp>
                        <wps:wsp>
                          <wps:cNvPr id="585721207" name="Rectangle 585721207">
                            <a:extLst>
                              <a:ext uri="{FF2B5EF4-FFF2-40B4-BE49-F238E27FC236}">
                                <a16:creationId xmlns:a16="http://schemas.microsoft.com/office/drawing/2014/main" id="{DE5E1129-9B51-629B-DF73-4E7C0199184A}"/>
                              </a:ext>
                            </a:extLst>
                          </wps:cNvPr>
                          <wps:cNvSpPr>
                            <a:spLocks/>
                          </wps:cNvSpPr>
                          <wps:spPr>
                            <a:xfrm rot="16200000">
                              <a:off x="8212498" y="1484364"/>
                              <a:ext cx="6510836" cy="1247286"/>
                            </a:xfrm>
                            <a:prstGeom prst="rect">
                              <a:avLst/>
                            </a:prstGeom>
                            <a:noFill/>
                          </wps:spPr>
                          <wps:txbx>
                            <w:txbxContent>
                              <w:p w14:paraId="7F33E901" w14:textId="31850338" w:rsidR="00602BCB" w:rsidRDefault="00C15E3E" w:rsidP="00602BCB">
                                <w:pPr>
                                  <w:jc w:val="center"/>
                                  <w:rPr>
                                    <w:rFonts w:ascii="IBM Plex Sans Medm" w:hAnsi="IBM Plex Sans Medm" w:cstheme="minorBidi"/>
                                    <w:b/>
                                    <w:bCs/>
                                    <w:color w:val="42474C" w:themeColor="background2"/>
                                    <w:kern w:val="24"/>
                                    <w:sz w:val="54"/>
                                    <w:szCs w:val="54"/>
                                    <w:lang w:val="en-IN"/>
                                  </w:rPr>
                                </w:pPr>
                                <w:r>
                                  <w:rPr>
                                    <w:rFonts w:ascii="IBM Plex Sans Medm" w:hAnsi="IBM Plex Sans Medm" w:cstheme="minorBidi"/>
                                    <w:b/>
                                    <w:bCs/>
                                    <w:color w:val="42474C" w:themeColor="background2"/>
                                    <w:kern w:val="24"/>
                                    <w:sz w:val="54"/>
                                    <w:szCs w:val="54"/>
                                    <w:lang w:val="en-IN"/>
                                  </w:rPr>
                                  <w:t xml:space="preserve"> </w:t>
                                </w:r>
                                <w:r w:rsidR="00602BCB">
                                  <w:rPr>
                                    <w:rFonts w:ascii="IBM Plex Sans Medm" w:hAnsi="IBM Plex Sans Medm" w:cstheme="minorBidi"/>
                                    <w:b/>
                                    <w:bCs/>
                                    <w:color w:val="42474C" w:themeColor="background2"/>
                                    <w:kern w:val="24"/>
                                    <w:sz w:val="52"/>
                                    <w:szCs w:val="52"/>
                                    <w:lang w:val="en-IN"/>
                                  </w:rPr>
                                  <w:t xml:space="preserve">Innovation &amp; </w:t>
                                </w:r>
                              </w:p>
                              <w:p w14:paraId="057ED0F7" w14:textId="77777777" w:rsidR="00602BCB" w:rsidRDefault="00602BCB" w:rsidP="00602BCB">
                                <w:pPr>
                                  <w:jc w:val="center"/>
                                  <w:rPr>
                                    <w:rFonts w:ascii="IBM Plex Sans Medm" w:hAnsi="IBM Plex Sans Medm" w:cstheme="minorBidi"/>
                                    <w:b/>
                                    <w:bCs/>
                                    <w:color w:val="42474C" w:themeColor="background2"/>
                                    <w:kern w:val="24"/>
                                    <w:sz w:val="52"/>
                                    <w:szCs w:val="52"/>
                                    <w:lang w:val="en-IN"/>
                                  </w:rPr>
                                </w:pPr>
                                <w:r>
                                  <w:rPr>
                                    <w:rFonts w:ascii="IBM Plex Sans Medm" w:hAnsi="IBM Plex Sans Medm" w:cstheme="minorBidi"/>
                                    <w:b/>
                                    <w:bCs/>
                                    <w:color w:val="42474C" w:themeColor="background2"/>
                                    <w:kern w:val="24"/>
                                    <w:sz w:val="52"/>
                                    <w:szCs w:val="52"/>
                                    <w:lang w:val="en-IN"/>
                                  </w:rPr>
                                  <w:t>Thought Leadership</w:t>
                                </w:r>
                              </w:p>
                            </w:txbxContent>
                          </wps:txbx>
                          <wps:bodyPr spcFirstLastPara="1" wrap="square" lIns="121904" tIns="60952" rIns="121904" bIns="60952" numCol="1">
                            <a:prstTxWarp prst="textArchUp">
                              <a:avLst>
                                <a:gd name="adj" fmla="val 16552806"/>
                              </a:avLst>
                            </a:prstTxWarp>
                            <a:spAutoFit/>
                          </wps:bodyPr>
                        </wps:wsp>
                      </wpg:grpSp>
                      <wps:wsp>
                        <wps:cNvPr id="901101640" name="Oval 901101640">
                          <a:extLst>
                            <a:ext uri="{FF2B5EF4-FFF2-40B4-BE49-F238E27FC236}">
                              <a16:creationId xmlns:a16="http://schemas.microsoft.com/office/drawing/2014/main" id="{F971FB65-44AD-4A2E-7D38-2682A4EBA3D6}"/>
                            </a:ext>
                          </a:extLst>
                        </wps:cNvPr>
                        <wps:cNvSpPr>
                          <a:spLocks/>
                        </wps:cNvSpPr>
                        <wps:spPr bwMode="auto">
                          <a:xfrm>
                            <a:off x="9823429" y="2952426"/>
                            <a:ext cx="3630860" cy="3630860"/>
                          </a:xfrm>
                          <a:prstGeom prst="ellipse">
                            <a:avLst/>
                          </a:prstGeom>
                          <a:solidFill>
                            <a:schemeClr val="bg1"/>
                          </a:solidFill>
                          <a:ln w="69850">
                            <a:solidFill>
                              <a:schemeClr val="accent1"/>
                            </a:solidFill>
                            <a:headEnd type="none" w="med" len="med"/>
                            <a:tailEnd type="none" w="med" len="med"/>
                          </a:ln>
                          <a:effectLst/>
                        </wps:spPr>
                        <wps:style>
                          <a:lnRef idx="2">
                            <a:schemeClr val="accent6"/>
                          </a:lnRef>
                          <a:fillRef idx="1">
                            <a:schemeClr val="lt1"/>
                          </a:fillRef>
                          <a:effectRef idx="0">
                            <a:schemeClr val="accent6"/>
                          </a:effectRef>
                          <a:fontRef idx="minor">
                            <a:schemeClr val="dk1"/>
                          </a:fontRef>
                        </wps:style>
                        <wps:bodyPr vert="horz" wrap="square" lIns="91428" tIns="91428" rIns="91428" bIns="91428" numCol="1" rtlCol="0" anchor="t" anchorCtr="0" compatLnSpc="1">
                          <a:prstTxWarp prst="textNoShape">
                            <a:avLst/>
                          </a:prstTxWarp>
                        </wps:bodyPr>
                      </wps:wsp>
                      <wps:wsp>
                        <wps:cNvPr id="1869296693" name="TextBox 85">
                          <a:extLst>
                            <a:ext uri="{FF2B5EF4-FFF2-40B4-BE49-F238E27FC236}">
                              <a16:creationId xmlns:a16="http://schemas.microsoft.com/office/drawing/2014/main" id="{A43A2F95-EFC0-C312-3521-1AB1E668EA29}"/>
                            </a:ext>
                          </a:extLst>
                        </wps:cNvPr>
                        <wps:cNvSpPr txBox="1"/>
                        <wps:spPr>
                          <a:xfrm>
                            <a:off x="10156773" y="3799051"/>
                            <a:ext cx="2982983" cy="2917570"/>
                          </a:xfrm>
                          <a:prstGeom prst="rect">
                            <a:avLst/>
                          </a:prstGeom>
                          <a:ln w="12700">
                            <a:miter lim="400000"/>
                          </a:ln>
                          <a:extLst>
                            <a:ext uri="{C572A759-6A51-4108-AA02-DFA0A04FC94B}">
                              <ma14:wrappingTextBoxFlag xmlns:arto="http://schemas.microsoft.com/office/word/2006/arto" xmlns:lc="http://schemas.openxmlformats.org/drawingml/2006/lockedCanvas" xmlns="" xmlns:a14="http://schemas.microsoft.com/office/drawing/2010/main" xmlns:ma14="http://schemas.microsoft.com/office/mac/drawingml/2011/main" xmlns:p="http://schemas.openxmlformats.org/presentationml/2006/main" xmlns:w="http://schemas.openxmlformats.org/wordprocessingml/2006/main" xmlns:w10="urn:schemas-microsoft-com:office:word" xmlns:v="urn:schemas-microsoft-com:vml" xmlns:o="urn:schemas-microsoft-com:office:office" xmlns:c="http://schemas.openxmlformats.org/drawingml/2006/chart" xmlns:dgm="http://schemas.openxmlformats.org/drawingml/2006/diagram" xmlns:asvg="http://schemas.microsoft.com/office/drawing/2016/SVG/main" xmlns:pic="http://schemas.openxmlformats.org/drawingml/2006/picture" xmlns:a16="http://schemas.microsoft.com/office/drawing/2014/main" val="1"/>
                            </a:ext>
                          </a:extLst>
                        </wps:spPr>
                        <wps:txbx>
                          <w:txbxContent>
                            <w:p w14:paraId="7CAC16B7" w14:textId="77777777" w:rsidR="00602BCB" w:rsidRDefault="00602BCB" w:rsidP="00602BCB">
                              <w:pPr>
                                <w:spacing w:before="1160"/>
                                <w:jc w:val="center"/>
                                <w:rPr>
                                  <w:rFonts w:ascii="IBM Plex Sans Medm" w:hAnsi="IBM Plex Sans Medm" w:cstheme="minorBidi"/>
                                  <w:color w:val="003F69" w:themeColor="accent1"/>
                                  <w:kern w:val="24"/>
                                  <w:sz w:val="86"/>
                                  <w:szCs w:val="86"/>
                                  <w:lang w:val="en-GB"/>
                                </w:rPr>
                              </w:pPr>
                              <w:r>
                                <w:rPr>
                                  <w:rFonts w:ascii="IBM Plex Sans Medm" w:hAnsi="IBM Plex Sans Medm" w:cstheme="minorBidi"/>
                                  <w:color w:val="003F69" w:themeColor="accent1"/>
                                  <w:kern w:val="24"/>
                                  <w:sz w:val="86"/>
                                  <w:szCs w:val="86"/>
                                  <w:lang w:val="en-GB"/>
                                </w:rPr>
                                <w:t>Quality Engineering Services</w:t>
                              </w:r>
                            </w:p>
                          </w:txbxContent>
                        </wps:txbx>
                        <wps:bodyPr wrap="square" lIns="0" tIns="0" rIns="0" bIns="0" rtlCol="0" anchor="ctr">
                          <a:spAutoFit/>
                        </wps:bodyPr>
                      </wps:wsp>
                      <wps:wsp>
                        <wps:cNvPr id="1725501561" name="Oval 1725501561">
                          <a:extLst>
                            <a:ext uri="{FF2B5EF4-FFF2-40B4-BE49-F238E27FC236}">
                              <a16:creationId xmlns:a16="http://schemas.microsoft.com/office/drawing/2014/main" id="{6BA9EF54-9452-3185-4B45-6E83401999EF}"/>
                            </a:ext>
                          </a:extLst>
                        </wps:cNvPr>
                        <wps:cNvSpPr>
                          <a:spLocks/>
                        </wps:cNvSpPr>
                        <wps:spPr bwMode="auto">
                          <a:xfrm>
                            <a:off x="7093267" y="223291"/>
                            <a:ext cx="9067965" cy="9067966"/>
                          </a:xfrm>
                          <a:prstGeom prst="ellipse">
                            <a:avLst/>
                          </a:prstGeom>
                          <a:noFill/>
                          <a:ln w="12700">
                            <a:solidFill>
                              <a:schemeClr val="accent1"/>
                            </a:solidFill>
                            <a:prstDash val="dash"/>
                            <a:headEnd type="none" w="med" len="med"/>
                            <a:tailEnd type="none" w="med" len="med"/>
                          </a:ln>
                          <a:effectLst/>
                        </wps:spPr>
                        <wps:style>
                          <a:lnRef idx="2">
                            <a:schemeClr val="accent6"/>
                          </a:lnRef>
                          <a:fillRef idx="1">
                            <a:schemeClr val="lt1"/>
                          </a:fillRef>
                          <a:effectRef idx="0">
                            <a:schemeClr val="accent6"/>
                          </a:effectRef>
                          <a:fontRef idx="minor">
                            <a:schemeClr val="dk1"/>
                          </a:fontRef>
                        </wps:style>
                        <wps:bodyPr vert="horz" wrap="square" lIns="91428" tIns="91428" rIns="91428" bIns="91428" numCol="1" rtlCol="0" anchor="t" anchorCtr="0" compatLnSpc="1">
                          <a:prstTxWarp prst="textNoShape">
                            <a:avLst/>
                          </a:prstTxWarp>
                        </wps:bodyPr>
                      </wps:wsp>
                    </wpg:wgp>
                  </a:graphicData>
                </a:graphic>
              </wp:anchor>
            </w:drawing>
          </mc:Choice>
          <mc:Fallback>
            <w:pict>
              <v:group w14:anchorId="3EC24046" id="组合 27" o:spid="_x0000_s1029" style="position:absolute;margin-left:1117.05pt;margin-top:-.7pt;width:713.9pt;height:13in;z-index:251658259" coordorigin="70932,-25975" coordsize="90679,118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">
                <v:group id="组合 6" o:spid="_x0000_s1030" style="position:absolute;left:72038;top:-25975;width:88480;height:116268" coordorigin="72038,-25975" coordsize="88479,116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">
                  <v:group id="组合 40" o:spid="_x0000_s1031" style="position:absolute;left:72038;top:-25975;width:88480;height:116268" coordorigin="72038,-24458" coordsize="83315,109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">
                    <v:group id="组合 25" o:spid="_x0000_s1032" style="position:absolute;left:73407;top:4235;width:80784;height:80787" coordorigin="73407,4235" coordsize="55206,55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">
                      <v:shape id="Freeform: Shape 140" o:spid="_x0000_s1033" style="position:absolute;left:100605;top:4235;width:24343;height:28008;visibility:visible;mso-wrap-style:square;v-text-anchor:middle" coordsize="2466975,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" path="m42863,42863v984884,,1894522,525780,2386965,1378267l42863,2799398r,-2756535l42863,42863xe" fillcolor="#0f6dff" strokecolor="#42474c [3214]" strokeweight="3pt">
                        <v:stroke joinstyle="miter"/>
                        <v:path arrowok="t" o:connecttype="custom" o:connectlocs="42295,42295;2397631,1402298;42295,2762302;42295,42295;42295,42295" o:connectangles="0,0,0,0,0"/>
                      </v:shape>
                      <v:shape id="Freeform: Shape 141" o:spid="_x0000_s1034" style="position:absolute;left:100605;top:17835;width:28008;height:28008;visibility:visible;mso-wrap-style:square;v-text-anchor:middle" coordsize="2838450,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" path="m2429828,42863v492442,852487,492442,1903095,,2756535l42863,1421130,2429828,42863r,xe" fillcolor="#008abf [3205]" strokecolor="#42474c [3214]" strokeweight="3pt">
                        <v:stroke joinstyle="miter"/>
                        <v:path arrowok="t" o:connecttype="custom" o:connectlocs="2397631,42295;2397631,2762302;42295,1402298;2397631,42295;2397631,42295" o:connectangles="0,0,0,0,0"/>
                      </v:shape>
                      <v:shape id="Freeform: Shape 142" o:spid="_x0000_s1035" style="position:absolute;left:100605;top:31435;width:24343;height:28008;visibility:visible;mso-wrap-style:square;v-text-anchor:middle" coordsize="2466975,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" path="m2429828,1421130c1937385,2273617,1027747,2799398,42863,2799398r,-2756535l2429828,1421130r,xe" fillcolor="#003f69 [3204]" strokecolor="#42474c [3214]" strokeweight="3pt">
                        <v:stroke joinstyle="miter"/>
                        <v:path arrowok="t" o:connecttype="custom" o:connectlocs="2397631,1402298;42295,2762302;42295,42295;2397631,1402298;2397631,1402298" o:connectangles="0,0,0,0,0"/>
                      </v:shape>
                      <v:shape id="Freeform: Shape 143" o:spid="_x0000_s1036" style="position:absolute;left:77052;top:31426;width:24343;height:28008;visibility:visible;mso-wrap-style:square;v-text-anchor:middle" coordsize="2466975,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" path="m2429828,2799398v-984885,,-1894523,-525780,-2386965,-1378268l2429828,42863r,2756535l2429828,2799398xe" fillcolor="#008abf [3205]" strokecolor="#42474c [3214]" strokeweight="3pt">
                        <v:stroke joinstyle="miter"/>
                        <v:path arrowok="t" o:connecttype="custom" o:connectlocs="2397631,2762302;42295,1402298;2397631,42295;2397631,2762302;2397631,2762302" o:connectangles="0,0,0,0,0"/>
                      </v:shape>
                      <v:shape id="Freeform: Shape 144" o:spid="_x0000_s1037" style="position:absolute;left:73407;top:17835;width:28009;height:28008;visibility:visible;mso-wrap-style:square;v-text-anchor:middle" coordsize="2838450,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" path="m412194,2799398c-80248,1946910,-80248,896303,412194,42863l2799159,1421130,412194,2799398r,xe" fillcolor="#003f69 [3204]" strokecolor="#42474c [3214]" strokeweight="3pt">
                        <v:stroke joinstyle="miter"/>
                        <v:path arrowok="t" o:connecttype="custom" o:connectlocs="406732,2762302;406732,42295;2762069,1402298;406732,2762302;406732,2762302" o:connectangles="0,0,0,0,0"/>
                      </v:shape>
                      <v:shape id="Freeform: Shape 145" o:spid="_x0000_s1038" style="position:absolute;left:77052;top:4235;width:24343;height:28008;visibility:visible;mso-wrap-style:square;v-text-anchor:middle" coordsize="2466975,283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" path="m42863,1421130c535305,568643,1444943,42863,2429828,42863r,2756535l42863,1421130r,xe" fillcolor="#008abf [3205]" strokecolor="#42474c [3214]" strokeweight="3pt">
                        <v:stroke joinstyle="miter"/>
                        <v:path arrowok="t" o:connecttype="custom" o:connectlocs="42295,1402298;2397631,42295;2397631,2762302;42295,1402298;42295,1402298" o:connectangles="0,0,0,0,0"/>
                      </v:shape>
                      <v:oval id="Oval 469704082" o:spid="_x0000_s1039" style="position:absolute;left:88112;top:18941;width:25797;height:25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" fillcolor="#aedeff [660]" stroked="f" strokeweight="3pt">
                        <v:stroke joinstyle="miter"/>
                        <v:textbox inset="4.23278mm,2.11639mm,4.23278mm,2.11639mm"/>
                      </v:oval>
                    </v:group>
                    <v:rect id="Rectangle 1581748873" o:spid="_x0000_s1040" style="position:absolute;left:84632;top:5906;width:73093;height:1236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" filled="f" stroked="f">
                      <v:textbox style="mso-fit-shape-to-text:t" inset="3.38622mm,1.69311mm,3.38622mm,1.69311mm">
                        <w:txbxContent>
                          <w:p w14:paraId="1FE3B6CC"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 </w:t>
                            </w:r>
                            <w:r>
                              <w:rPr>
                                <w:rFonts w:ascii="IBM Plex Sans Medm" w:hAnsi="IBM Plex Sans Medm" w:cstheme="minorBidi"/>
                                <w:b/>
                                <w:bCs/>
                                <w:color w:val="FFFFFF" w:themeColor="background1"/>
                                <w:kern w:val="24"/>
                                <w:sz w:val="56"/>
                                <w:szCs w:val="56"/>
                              </w:rPr>
                              <w:t xml:space="preserve">Quality Engineering </w:t>
                            </w:r>
                          </w:p>
                          <w:p w14:paraId="7DE866A7" w14:textId="77777777" w:rsidR="00602BCB" w:rsidRDefault="00602BCB" w:rsidP="00602BCB">
                            <w:pPr>
                              <w:jc w:val="center"/>
                              <w:rPr>
                                <w:rFonts w:ascii="IBM Plex Sans Medm" w:hAnsi="IBM Plex Sans Medm" w:cstheme="minorBidi"/>
                                <w:b/>
                                <w:bCs/>
                                <w:color w:val="FFFFFF" w:themeColor="background1"/>
                                <w:kern w:val="24"/>
                                <w:sz w:val="56"/>
                                <w:szCs w:val="56"/>
                              </w:rPr>
                            </w:pPr>
                            <w:r>
                              <w:rPr>
                                <w:rFonts w:ascii="IBM Plex Sans Medm" w:hAnsi="IBM Plex Sans Medm" w:cstheme="minorBidi"/>
                                <w:b/>
                                <w:bCs/>
                                <w:color w:val="FFFFFF" w:themeColor="background1"/>
                                <w:kern w:val="24"/>
                                <w:sz w:val="56"/>
                                <w:szCs w:val="56"/>
                              </w:rPr>
                              <w:t>Types</w:t>
                            </w:r>
                          </w:p>
                        </w:txbxContent>
                      </v:textbox>
                    </v:rect>
                    <v:rect id="Rectangle 1191854997" o:spid="_x0000_s1041" style="position:absolute;left:82026;top:14764;width:67241;height:12367;rotation:98771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" filled="f" stroked="f">
                      <v:textbox style="mso-fit-shape-to-text:t" inset="3.38622mm,1.69311mm,3.38622mm,1.69311mm">
                        <w:txbxContent>
                          <w:p w14:paraId="2701713E"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Strong ecosystem </w:t>
                            </w:r>
                          </w:p>
                          <w:p w14:paraId="7D6215B6"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partnerships</w:t>
                            </w:r>
                          </w:p>
                        </w:txbxContent>
                      </v:textbox>
                    </v:rect>
                    <v:rect id="Rectangle 407593408" o:spid="_x0000_s1042" style="position:absolute;left:72038;top:12619;width:69512;height:11745;rotation:-983835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" filled="f" stroked="f">
                      <v:textbox style="mso-fit-shape-to-text:t" inset="3.38622mm,1.69311mm,3.38622mm,1.69311mm">
                        <w:txbxContent>
                          <w:p w14:paraId="7843564F" w14:textId="554B2580" w:rsidR="00602BCB" w:rsidRDefault="00C15E3E" w:rsidP="00602BCB">
                            <w:pPr>
                              <w:jc w:val="center"/>
                              <w:rPr>
                                <w:rFonts w:ascii="IBM Plex Sans Medm" w:hAnsi="IBM Plex Sans Medm" w:cstheme="minorBidi"/>
                                <w:b/>
                                <w:bCs/>
                                <w:color w:val="42474C" w:themeColor="background2"/>
                                <w:kern w:val="24"/>
                                <w:sz w:val="52"/>
                                <w:szCs w:val="52"/>
                              </w:rPr>
                            </w:pPr>
                            <w:r>
                              <w:rPr>
                                <w:rFonts w:ascii="IBM Plex Sans Medm" w:hAnsi="IBM Plex Sans Medm" w:cstheme="minorBidi"/>
                                <w:b/>
                                <w:bCs/>
                                <w:color w:val="42474C" w:themeColor="background2"/>
                                <w:kern w:val="24"/>
                                <w:sz w:val="52"/>
                                <w:szCs w:val="52"/>
                              </w:rPr>
                              <w:t xml:space="preserve"> </w:t>
                            </w:r>
                            <w:r w:rsidR="00602BCB">
                              <w:rPr>
                                <w:rFonts w:ascii="IBM Plex Sans Medm" w:hAnsi="IBM Plex Sans Medm" w:cstheme="minorBidi"/>
                                <w:b/>
                                <w:bCs/>
                                <w:color w:val="42474C" w:themeColor="background2"/>
                                <w:kern w:val="24"/>
                                <w:sz w:val="52"/>
                                <w:szCs w:val="52"/>
                              </w:rPr>
                              <w:t xml:space="preserve">Skills &amp; Delivery </w:t>
                            </w:r>
                          </w:p>
                          <w:p w14:paraId="4A531F77" w14:textId="4593E0E3" w:rsidR="00602BCB" w:rsidRDefault="00C15E3E" w:rsidP="00602BCB">
                            <w:pPr>
                              <w:jc w:val="center"/>
                              <w:rPr>
                                <w:rFonts w:ascii="IBM Plex Sans Medm" w:hAnsi="IBM Plex Sans Medm" w:cstheme="minorBidi"/>
                                <w:b/>
                                <w:bCs/>
                                <w:color w:val="42474C" w:themeColor="background2"/>
                                <w:kern w:val="24"/>
                                <w:sz w:val="52"/>
                                <w:szCs w:val="52"/>
                              </w:rPr>
                            </w:pPr>
                            <w:r>
                              <w:rPr>
                                <w:rFonts w:ascii="IBM Plex Sans Medm" w:hAnsi="IBM Plex Sans Medm" w:cstheme="minorBidi"/>
                                <w:b/>
                                <w:bCs/>
                                <w:color w:val="42474C" w:themeColor="background2"/>
                                <w:kern w:val="24"/>
                                <w:sz w:val="52"/>
                                <w:szCs w:val="52"/>
                              </w:rPr>
                              <w:t xml:space="preserve"> </w:t>
                            </w:r>
                            <w:r w:rsidR="00602BCB">
                              <w:rPr>
                                <w:rFonts w:ascii="IBM Plex Sans Medm" w:hAnsi="IBM Plex Sans Medm" w:cstheme="minorBidi"/>
                                <w:b/>
                                <w:bCs/>
                                <w:color w:val="42474C" w:themeColor="background2"/>
                                <w:kern w:val="24"/>
                                <w:sz w:val="52"/>
                                <w:szCs w:val="52"/>
                              </w:rPr>
                              <w:t>Excellence</w:t>
                            </w:r>
                          </w:p>
                        </w:txbxContent>
                      </v:textbox>
                    </v:rect>
                    <v:rect id="Rectangle 236443323" o:spid="_x0000_s1043" style="position:absolute;left:85802;top:16091;width:59316;height:12367;rotation:-19310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" filled="f" stroked="f">
                      <v:textbox style="mso-fit-shape-to-text:t" inset="3.38622mm,1.69311mm,3.38622mm,1.69311mm">
                        <w:txbxContent>
                          <w:p w14:paraId="5F9FD3D4"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Unique assets &amp;</w:t>
                            </w:r>
                          </w:p>
                          <w:p w14:paraId="118E48DB"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accelerators</w:t>
                            </w:r>
                          </w:p>
                        </w:txbxContent>
                      </v:textbox>
                    </v:rect>
                    <v:rect id="Rectangle 2135614846" o:spid="_x0000_s1044" style="position:absolute;left:79561;top:-5;width:75792;height:12365;rotation:190389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" filled="f" stroked="f">
                      <v:textbox style="mso-fit-shape-to-text:t" inset="3.38622mm,1.69311mm,3.38622mm,1.69311mm">
                        <w:txbxContent>
                          <w:p w14:paraId="4881A073"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 xml:space="preserve">Hyper-scaler </w:t>
                            </w:r>
                          </w:p>
                          <w:p w14:paraId="2FF538FD" w14:textId="77777777" w:rsidR="00602BCB" w:rsidRDefault="00602BCB" w:rsidP="00602BCB">
                            <w:pPr>
                              <w:jc w:val="center"/>
                              <w:rPr>
                                <w:rFonts w:ascii="IBM Plex Sans Medm" w:hAnsi="IBM Plex Sans Medm" w:cstheme="minorBidi"/>
                                <w:b/>
                                <w:bCs/>
                                <w:color w:val="42474C" w:themeColor="background2"/>
                                <w:kern w:val="24"/>
                                <w:sz w:val="56"/>
                                <w:szCs w:val="56"/>
                              </w:rPr>
                            </w:pPr>
                            <w:r>
                              <w:rPr>
                                <w:rFonts w:ascii="IBM Plex Sans Medm" w:hAnsi="IBM Plex Sans Medm" w:cstheme="minorBidi"/>
                                <w:b/>
                                <w:bCs/>
                                <w:color w:val="42474C" w:themeColor="background2"/>
                                <w:kern w:val="24"/>
                                <w:sz w:val="56"/>
                                <w:szCs w:val="56"/>
                              </w:rPr>
                              <w:t>flexibility</w:t>
                            </w:r>
                          </w:p>
                        </w:txbxContent>
                      </v:textbox>
                    </v:rect>
                  </v:group>
                  <v:rect id="Rectangle 585721207" o:spid="_x0000_s1045" style="position:absolute;left:82125;top:14843;width:65108;height:124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" filled="f" stroked="f">
                    <v:textbox style="mso-fit-shape-to-text:t" inset="3.38622mm,1.69311mm,3.38622mm,1.69311mm">
                      <w:txbxContent>
                        <w:p w14:paraId="7F33E901" w14:textId="31850338" w:rsidR="00602BCB" w:rsidRDefault="00C15E3E" w:rsidP="00602BCB">
                          <w:pPr>
                            <w:jc w:val="center"/>
                            <w:rPr>
                              <w:rFonts w:ascii="IBM Plex Sans Medm" w:hAnsi="IBM Plex Sans Medm" w:cstheme="minorBidi"/>
                              <w:b/>
                              <w:bCs/>
                              <w:color w:val="42474C" w:themeColor="background2"/>
                              <w:kern w:val="24"/>
                              <w:sz w:val="54"/>
                              <w:szCs w:val="54"/>
                              <w:lang w:val="en-IN"/>
                            </w:rPr>
                          </w:pPr>
                          <w:r>
                            <w:rPr>
                              <w:rFonts w:ascii="IBM Plex Sans Medm" w:hAnsi="IBM Plex Sans Medm" w:cstheme="minorBidi"/>
                              <w:b/>
                              <w:bCs/>
                              <w:color w:val="42474C" w:themeColor="background2"/>
                              <w:kern w:val="24"/>
                              <w:sz w:val="54"/>
                              <w:szCs w:val="54"/>
                              <w:lang w:val="en-IN"/>
                            </w:rPr>
                            <w:t xml:space="preserve"> </w:t>
                          </w:r>
                          <w:r w:rsidR="00602BCB">
                            <w:rPr>
                              <w:rFonts w:ascii="IBM Plex Sans Medm" w:hAnsi="IBM Plex Sans Medm" w:cstheme="minorBidi"/>
                              <w:b/>
                              <w:bCs/>
                              <w:color w:val="42474C" w:themeColor="background2"/>
                              <w:kern w:val="24"/>
                              <w:sz w:val="52"/>
                              <w:szCs w:val="52"/>
                              <w:lang w:val="en-IN"/>
                            </w:rPr>
                            <w:t xml:space="preserve">Innovation &amp; </w:t>
                          </w:r>
                        </w:p>
                        <w:p w14:paraId="057ED0F7" w14:textId="77777777" w:rsidR="00602BCB" w:rsidRDefault="00602BCB" w:rsidP="00602BCB">
                          <w:pPr>
                            <w:jc w:val="center"/>
                            <w:rPr>
                              <w:rFonts w:ascii="IBM Plex Sans Medm" w:hAnsi="IBM Plex Sans Medm" w:cstheme="minorBidi"/>
                              <w:b/>
                              <w:bCs/>
                              <w:color w:val="42474C" w:themeColor="background2"/>
                              <w:kern w:val="24"/>
                              <w:sz w:val="52"/>
                              <w:szCs w:val="52"/>
                              <w:lang w:val="en-IN"/>
                            </w:rPr>
                          </w:pPr>
                          <w:r>
                            <w:rPr>
                              <w:rFonts w:ascii="IBM Plex Sans Medm" w:hAnsi="IBM Plex Sans Medm" w:cstheme="minorBidi"/>
                              <w:b/>
                              <w:bCs/>
                              <w:color w:val="42474C" w:themeColor="background2"/>
                              <w:kern w:val="24"/>
                              <w:sz w:val="52"/>
                              <w:szCs w:val="52"/>
                              <w:lang w:val="en-IN"/>
                            </w:rPr>
                            <w:t>Thought Leadership</w:t>
                          </w:r>
                        </w:p>
                      </w:txbxContent>
                    </v:textbox>
                  </v:rect>
                </v:group>
                <v:oval id="Oval 901101640" o:spid="_x0000_s1046" style="position:absolute;left:98234;top:29524;width:36308;height:36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" fillcolor="white [3212]" strokecolor="#003f69 [3204]" strokeweight="5.5pt">
                  <v:path arrowok="t"/>
                  <v:textbox inset="2.53967mm,2.53967mm,2.53967mm,2.53967mm"/>
                </v:oval>
                <v:shape id="TextBox 85" o:spid="_x0000_s1047" type="#_x0000_t202" style="position:absolute;left:101567;top:37990;width:29830;height:29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" filled="f" stroked="f" strokeweight="1pt">
                  <v:stroke miterlimit="4"/>
                  <v:textbox style="mso-fit-shape-to-text:t" inset="0,0,0,0">
                    <w:txbxContent>
                      <w:p w14:paraId="7CAC16B7" w14:textId="77777777" w:rsidR="00602BCB" w:rsidRDefault="00602BCB" w:rsidP="00602BCB">
                        <w:pPr>
                          <w:spacing w:before="1160"/>
                          <w:jc w:val="center"/>
                          <w:rPr>
                            <w:rFonts w:ascii="IBM Plex Sans Medm" w:hAnsi="IBM Plex Sans Medm" w:cstheme="minorBidi"/>
                            <w:color w:val="003F69" w:themeColor="accent1"/>
                            <w:kern w:val="24"/>
                            <w:sz w:val="86"/>
                            <w:szCs w:val="86"/>
                            <w:lang w:val="en-GB"/>
                          </w:rPr>
                        </w:pPr>
                        <w:r>
                          <w:rPr>
                            <w:rFonts w:ascii="IBM Plex Sans Medm" w:hAnsi="IBM Plex Sans Medm" w:cstheme="minorBidi"/>
                            <w:color w:val="003F69" w:themeColor="accent1"/>
                            <w:kern w:val="24"/>
                            <w:sz w:val="86"/>
                            <w:szCs w:val="86"/>
                            <w:lang w:val="en-GB"/>
                          </w:rPr>
                          <w:t>Quality Engineering Services</w:t>
                        </w:r>
                      </w:p>
                    </w:txbxContent>
                  </v:textbox>
                </v:shape>
                <v:oval id="Oval 1725501561" o:spid="_x0000_s1048" style="position:absolute;left:70932;top:2232;width:90680;height:90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" filled="f" strokecolor="#003f69 [3204]" strokeweight="1pt">
                  <v:stroke dashstyle="dash"/>
                  <v:path arrowok="t"/>
                  <v:textbox inset="2.53967mm,2.53967mm,2.53967mm,2.53967mm"/>
                </v:oval>
              </v:group>
            </w:pict>
          </mc:Fallback>
        </mc:AlternateContent>
      </w:r>
      <w:r w:rsidRPr="00932CC4">
        <w:rPr>
          <w:rFonts w:eastAsia="IBM Plex Sans"/>
        </w:rPr>
        <mc:AlternateContent>
          <mc:Choice Requires="wps">
            <w:drawing>
              <wp:anchor distT="0" distB="0" distL="114300" distR="114300" simplePos="0" relativeHeight="251658242" behindDoc="0" locked="0" layoutInCell="1" allowOverlap="1" wp14:anchorId="5B67EAE8" wp14:editId="3CABAE0F">
                <wp:simplePos x="0" y="0"/>
                <wp:positionH relativeFrom="column">
                  <wp:posOffset>13449300</wp:posOffset>
                </wp:positionH>
                <wp:positionV relativeFrom="paragraph">
                  <wp:posOffset>16189053</wp:posOffset>
                </wp:positionV>
                <wp:extent cx="1441439" cy="510566"/>
                <wp:effectExtent l="38100" t="0" r="6985" b="48260"/>
                <wp:wrapNone/>
                <wp:docPr id="18" name="Freeform: Shape 72">
                  <a:extLst xmlns:a="http://schemas.openxmlformats.org/drawingml/2006/main">
                    <a:ext uri="{FF2B5EF4-FFF2-40B4-BE49-F238E27FC236}">
                      <a16:creationId xmlns:a16="http://schemas.microsoft.com/office/drawing/2014/main" id="{57892EB6-029B-C0BB-95DE-27EC077A7FB2}"/>
                    </a:ext>
                  </a:extLst>
                </wp:docPr>
                <wp:cNvGraphicFramePr/>
                <a:graphic xmlns:a="http://schemas.openxmlformats.org/drawingml/2006/main">
                  <a:graphicData uri="http://schemas.microsoft.com/office/word/2010/wordprocessingShape">
                    <wps:wsp>
                      <wps:cNvSpPr/>
                      <wps:spPr>
                        <a:xfrm flipH="1">
                          <a:off x="0" y="0"/>
                          <a:ext cx="1441439" cy="510566"/>
                        </a:xfrm>
                        <a:custGeom>
                          <a:avLst/>
                          <a:gdLst>
                            <a:gd name="connsiteX0" fmla="*/ 0 w 469900"/>
                            <a:gd name="connsiteY0" fmla="*/ 0 h 114300"/>
                            <a:gd name="connsiteX1" fmla="*/ 114300 w 469900"/>
                            <a:gd name="connsiteY1" fmla="*/ 114300 h 114300"/>
                            <a:gd name="connsiteX2" fmla="*/ 469900 w 469900"/>
                            <a:gd name="connsiteY2" fmla="*/ 114300 h 114300"/>
                          </a:gdLst>
                          <a:ahLst/>
                          <a:cxnLst>
                            <a:cxn ang="0">
                              <a:pos x="connsiteX0" y="connsiteY0"/>
                            </a:cxn>
                            <a:cxn ang="0">
                              <a:pos x="connsiteX1" y="connsiteY1"/>
                            </a:cxn>
                            <a:cxn ang="0">
                              <a:pos x="connsiteX2" y="connsiteY2"/>
                            </a:cxn>
                          </a:cxnLst>
                          <a:rect l="l" t="t" r="r" b="b"/>
                          <a:pathLst>
                            <a:path w="469900" h="114300">
                              <a:moveTo>
                                <a:pt x="0" y="0"/>
                              </a:moveTo>
                              <a:lnTo>
                                <a:pt x="114300" y="114300"/>
                              </a:lnTo>
                              <a:lnTo>
                                <a:pt x="469900" y="114300"/>
                              </a:lnTo>
                            </a:path>
                          </a:pathLst>
                        </a:cu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7DD038EB">
              <v:shape id="Freeform: Shape 72" style="position:absolute;margin-left:1059pt;margin-top:1274.75pt;width:113.5pt;height:40.2pt;flip:x;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469900,114300" o:spid="_x0000_s1026" filled="f" strokecolor="#5a5a5a [2109]" strokeweight="1pt" path="m,l114300,114300r35560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" w14:anchorId="10E3DCFC">
                <v:stroke dashstyle="dash" endarrow="oval"/>
                <v:path arrowok="t" o:connecttype="custom" o:connectlocs="0,0;350620,510566;1441439,510566" o:connectangles="0,0,0"/>
              </v:shape>
            </w:pict>
          </mc:Fallback>
        </mc:AlternateContent>
      </w:r>
      <w:r w:rsidRPr="00932CC4">
        <w:rPr>
          <w:rFonts w:eastAsia="IBM Plex Sans"/>
        </w:rPr>
        <mc:AlternateContent>
          <mc:Choice Requires="wps">
            <w:drawing>
              <wp:anchor distT="0" distB="0" distL="114300" distR="114300" simplePos="0" relativeHeight="251658243" behindDoc="0" locked="0" layoutInCell="1" allowOverlap="1" wp14:anchorId="21413EE2" wp14:editId="5F1617E0">
                <wp:simplePos x="0" y="0"/>
                <wp:positionH relativeFrom="column">
                  <wp:posOffset>13362214</wp:posOffset>
                </wp:positionH>
                <wp:positionV relativeFrom="paragraph">
                  <wp:posOffset>546281</wp:posOffset>
                </wp:positionV>
                <wp:extent cx="1717849" cy="867637"/>
                <wp:effectExtent l="38100" t="38100" r="9525" b="8890"/>
                <wp:wrapNone/>
                <wp:docPr id="27" name="Freeform: Shape 72">
                  <a:extLst xmlns:a="http://schemas.openxmlformats.org/drawingml/2006/main">
                    <a:ext uri="{FF2B5EF4-FFF2-40B4-BE49-F238E27FC236}">
                      <a16:creationId xmlns:a16="http://schemas.microsoft.com/office/drawing/2014/main" id="{CB62C85C-6222-AB42-B20A-B02334C61263}"/>
                    </a:ext>
                  </a:extLst>
                </wp:docPr>
                <wp:cNvGraphicFramePr/>
                <a:graphic xmlns:a="http://schemas.openxmlformats.org/drawingml/2006/main">
                  <a:graphicData uri="http://schemas.microsoft.com/office/word/2010/wordprocessingShape">
                    <wps:wsp>
                      <wps:cNvSpPr/>
                      <wps:spPr>
                        <a:xfrm flipH="1" flipV="1">
                          <a:off x="0" y="0"/>
                          <a:ext cx="1717849" cy="867637"/>
                        </a:xfrm>
                        <a:custGeom>
                          <a:avLst/>
                          <a:gdLst>
                            <a:gd name="connsiteX0" fmla="*/ 0 w 469900"/>
                            <a:gd name="connsiteY0" fmla="*/ 0 h 114300"/>
                            <a:gd name="connsiteX1" fmla="*/ 114300 w 469900"/>
                            <a:gd name="connsiteY1" fmla="*/ 114300 h 114300"/>
                            <a:gd name="connsiteX2" fmla="*/ 469900 w 469900"/>
                            <a:gd name="connsiteY2" fmla="*/ 114300 h 114300"/>
                            <a:gd name="connsiteX0" fmla="*/ 0 w 560008"/>
                            <a:gd name="connsiteY0" fmla="*/ 0 h 188023"/>
                            <a:gd name="connsiteX1" fmla="*/ 204408 w 560008"/>
                            <a:gd name="connsiteY1" fmla="*/ 188023 h 188023"/>
                            <a:gd name="connsiteX2" fmla="*/ 560008 w 560008"/>
                            <a:gd name="connsiteY2" fmla="*/ 188023 h 188023"/>
                          </a:gdLst>
                          <a:ahLst/>
                          <a:cxnLst>
                            <a:cxn ang="0">
                              <a:pos x="connsiteX0" y="connsiteY0"/>
                            </a:cxn>
                            <a:cxn ang="0">
                              <a:pos x="connsiteX1" y="connsiteY1"/>
                            </a:cxn>
                            <a:cxn ang="0">
                              <a:pos x="connsiteX2" y="connsiteY2"/>
                            </a:cxn>
                          </a:cxnLst>
                          <a:rect l="l" t="t" r="r" b="b"/>
                          <a:pathLst>
                            <a:path w="560008" h="188023">
                              <a:moveTo>
                                <a:pt x="0" y="0"/>
                              </a:moveTo>
                              <a:lnTo>
                                <a:pt x="204408" y="188023"/>
                              </a:lnTo>
                              <a:lnTo>
                                <a:pt x="560008" y="188023"/>
                              </a:lnTo>
                            </a:path>
                          </a:pathLst>
                        </a:cu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3499D741">
              <v:shape id="Freeform: Shape 72" style="position:absolute;margin-left:1052.15pt;margin-top:43pt;width:135.25pt;height:68.3pt;flip:x y;z-index:251662336;visibility:visible;mso-wrap-style:square;mso-wrap-distance-left:9pt;mso-wrap-distance-top:0;mso-wrap-distance-right:9pt;mso-wrap-distance-bottom:0;mso-position-horizontal:absolute;mso-position-horizontal-relative:text;mso-position-vertical:absolute;mso-position-vertical-relative:text;v-text-anchor:middle" coordsize="560008,188023" o:spid="_x0000_s1026" filled="f" strokecolor="#5a5a5a [2109]" strokeweight="1pt" path="m,l204408,188023r35560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" w14:anchorId="7AC7320E">
                <v:stroke dashstyle="dash" endarrow="oval"/>
                <v:path arrowok="t" o:connecttype="custom" o:connectlocs="0,0;627030,867637;1717849,867637" o:connectangles="0,0,0"/>
              </v:shape>
            </w:pict>
          </mc:Fallback>
        </mc:AlternateContent>
      </w:r>
      <w:r w:rsidRPr="00932CC4">
        <w:rPr>
          <w:rFonts w:eastAsia="IBM Plex Sans"/>
        </w:rPr>
        <mc:AlternateContent>
          <mc:Choice Requires="wps">
            <w:drawing>
              <wp:anchor distT="0" distB="0" distL="114300" distR="114300" simplePos="0" relativeHeight="251658244" behindDoc="0" locked="0" layoutInCell="1" allowOverlap="1" wp14:anchorId="6D9ED9EB" wp14:editId="021AFBA5">
                <wp:simplePos x="0" y="0"/>
                <wp:positionH relativeFrom="column">
                  <wp:posOffset>29461097</wp:posOffset>
                </wp:positionH>
                <wp:positionV relativeFrom="paragraph">
                  <wp:posOffset>546281</wp:posOffset>
                </wp:positionV>
                <wp:extent cx="1717848" cy="867637"/>
                <wp:effectExtent l="0" t="38100" r="47625" b="8890"/>
                <wp:wrapNone/>
                <wp:docPr id="30" name="Freeform: Shape 72">
                  <a:extLst xmlns:a="http://schemas.openxmlformats.org/drawingml/2006/main">
                    <a:ext uri="{FF2B5EF4-FFF2-40B4-BE49-F238E27FC236}">
                      <a16:creationId xmlns:a16="http://schemas.microsoft.com/office/drawing/2014/main" id="{8FC38635-BFD5-39DE-9E82-0CC648D92183}"/>
                    </a:ext>
                  </a:extLst>
                </wp:docPr>
                <wp:cNvGraphicFramePr/>
                <a:graphic xmlns:a="http://schemas.openxmlformats.org/drawingml/2006/main">
                  <a:graphicData uri="http://schemas.microsoft.com/office/word/2010/wordprocessingShape">
                    <wps:wsp>
                      <wps:cNvSpPr/>
                      <wps:spPr>
                        <a:xfrm flipV="1">
                          <a:off x="0" y="0"/>
                          <a:ext cx="1717848" cy="867637"/>
                        </a:xfrm>
                        <a:custGeom>
                          <a:avLst/>
                          <a:gdLst>
                            <a:gd name="connsiteX0" fmla="*/ 0 w 469900"/>
                            <a:gd name="connsiteY0" fmla="*/ 0 h 114300"/>
                            <a:gd name="connsiteX1" fmla="*/ 114300 w 469900"/>
                            <a:gd name="connsiteY1" fmla="*/ 114300 h 114300"/>
                            <a:gd name="connsiteX2" fmla="*/ 469900 w 469900"/>
                            <a:gd name="connsiteY2" fmla="*/ 114300 h 114300"/>
                            <a:gd name="connsiteX0" fmla="*/ 0 w 560008"/>
                            <a:gd name="connsiteY0" fmla="*/ 0 h 188023"/>
                            <a:gd name="connsiteX1" fmla="*/ 204408 w 560008"/>
                            <a:gd name="connsiteY1" fmla="*/ 188023 h 188023"/>
                            <a:gd name="connsiteX2" fmla="*/ 560008 w 560008"/>
                            <a:gd name="connsiteY2" fmla="*/ 188023 h 188023"/>
                          </a:gdLst>
                          <a:ahLst/>
                          <a:cxnLst>
                            <a:cxn ang="0">
                              <a:pos x="connsiteX0" y="connsiteY0"/>
                            </a:cxn>
                            <a:cxn ang="0">
                              <a:pos x="connsiteX1" y="connsiteY1"/>
                            </a:cxn>
                            <a:cxn ang="0">
                              <a:pos x="connsiteX2" y="connsiteY2"/>
                            </a:cxn>
                          </a:cxnLst>
                          <a:rect l="l" t="t" r="r" b="b"/>
                          <a:pathLst>
                            <a:path w="560008" h="188023">
                              <a:moveTo>
                                <a:pt x="0" y="0"/>
                              </a:moveTo>
                              <a:lnTo>
                                <a:pt x="204408" y="188023"/>
                              </a:lnTo>
                              <a:lnTo>
                                <a:pt x="560008" y="188023"/>
                              </a:lnTo>
                            </a:path>
                          </a:pathLst>
                        </a:cu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74B710D1">
              <v:shape id="Freeform: Shape 72" style="position:absolute;margin-left:2319.75pt;margin-top:43pt;width:135.25pt;height:68.3pt;flip:y;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560008,188023" o:spid="_x0000_s1026" filled="f" strokecolor="#5a5a5a [2109]" strokeweight="1pt" path="m,l204408,188023r35560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" w14:anchorId="356DE3C2">
                <v:stroke dashstyle="dash" endarrow="oval"/>
                <v:path arrowok="t" o:connecttype="custom" o:connectlocs="0,0;627030,867637;1717848,867637" o:connectangles="0,0,0"/>
              </v:shape>
            </w:pict>
          </mc:Fallback>
        </mc:AlternateContent>
      </w:r>
      <w:r w:rsidRPr="00932CC4">
        <w:rPr>
          <w:rFonts w:eastAsia="IBM Plex Sans"/>
        </w:rPr>
        <mc:AlternateContent>
          <mc:Choice Requires="wps">
            <w:drawing>
              <wp:anchor distT="0" distB="0" distL="114300" distR="114300" simplePos="0" relativeHeight="251658245" behindDoc="0" locked="0" layoutInCell="1" allowOverlap="1" wp14:anchorId="60349260" wp14:editId="5BE057E0">
                <wp:simplePos x="0" y="0"/>
                <wp:positionH relativeFrom="column">
                  <wp:posOffset>30009737</wp:posOffset>
                </wp:positionH>
                <wp:positionV relativeFrom="paragraph">
                  <wp:posOffset>16189053</wp:posOffset>
                </wp:positionV>
                <wp:extent cx="1351794" cy="510566"/>
                <wp:effectExtent l="0" t="0" r="45720" b="48260"/>
                <wp:wrapNone/>
                <wp:docPr id="33" name="Freeform: Shape 72">
                  <a:extLst xmlns:a="http://schemas.openxmlformats.org/drawingml/2006/main">
                    <a:ext uri="{FF2B5EF4-FFF2-40B4-BE49-F238E27FC236}">
                      <a16:creationId xmlns:a16="http://schemas.microsoft.com/office/drawing/2014/main" id="{D90C0416-29F7-009D-A62C-2DD3A19D61AD}"/>
                    </a:ext>
                  </a:extLst>
                </wp:docPr>
                <wp:cNvGraphicFramePr/>
                <a:graphic xmlns:a="http://schemas.openxmlformats.org/drawingml/2006/main">
                  <a:graphicData uri="http://schemas.microsoft.com/office/word/2010/wordprocessingShape">
                    <wps:wsp>
                      <wps:cNvSpPr/>
                      <wps:spPr>
                        <a:xfrm>
                          <a:off x="0" y="0"/>
                          <a:ext cx="1351794" cy="510566"/>
                        </a:xfrm>
                        <a:custGeom>
                          <a:avLst/>
                          <a:gdLst>
                            <a:gd name="connsiteX0" fmla="*/ 0 w 469900"/>
                            <a:gd name="connsiteY0" fmla="*/ 0 h 114300"/>
                            <a:gd name="connsiteX1" fmla="*/ 114300 w 469900"/>
                            <a:gd name="connsiteY1" fmla="*/ 114300 h 114300"/>
                            <a:gd name="connsiteX2" fmla="*/ 469900 w 469900"/>
                            <a:gd name="connsiteY2" fmla="*/ 114300 h 114300"/>
                          </a:gdLst>
                          <a:ahLst/>
                          <a:cxnLst>
                            <a:cxn ang="0">
                              <a:pos x="connsiteX0" y="connsiteY0"/>
                            </a:cxn>
                            <a:cxn ang="0">
                              <a:pos x="connsiteX1" y="connsiteY1"/>
                            </a:cxn>
                            <a:cxn ang="0">
                              <a:pos x="connsiteX2" y="connsiteY2"/>
                            </a:cxn>
                          </a:cxnLst>
                          <a:rect l="l" t="t" r="r" b="b"/>
                          <a:pathLst>
                            <a:path w="469900" h="114300">
                              <a:moveTo>
                                <a:pt x="0" y="0"/>
                              </a:moveTo>
                              <a:lnTo>
                                <a:pt x="114300" y="114300"/>
                              </a:lnTo>
                              <a:lnTo>
                                <a:pt x="469900" y="114300"/>
                              </a:lnTo>
                            </a:path>
                          </a:pathLst>
                        </a:cu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40931083">
              <v:shape id="Freeform: Shape 72" style="position:absolute;margin-left:2362.95pt;margin-top:1274.75pt;width:106.45pt;height:40.2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469900,114300" o:spid="_x0000_s1026" filled="f" strokecolor="#5a5a5a [2109]" strokeweight="1pt" path="m,l114300,114300r35560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" w14:anchorId="22A92CAE">
                <v:stroke dashstyle="dash" endarrow="oval"/>
                <v:path arrowok="t" o:connecttype="custom" o:connectlocs="0,0;328815,510566;1351794,510566" o:connectangles="0,0,0"/>
              </v:shape>
            </w:pict>
          </mc:Fallback>
        </mc:AlternateContent>
      </w:r>
      <w:r w:rsidRPr="00932CC4">
        <w:rPr>
          <w:rFonts w:eastAsia="IBM Plex Sans"/>
        </w:rPr>
        <mc:AlternateContent>
          <mc:Choice Requires="wps">
            <w:drawing>
              <wp:anchor distT="0" distB="0" distL="114300" distR="114300" simplePos="0" relativeHeight="251658246" behindDoc="0" locked="0" layoutInCell="1" allowOverlap="1" wp14:anchorId="4898058A" wp14:editId="0B195ED2">
                <wp:simplePos x="0" y="0"/>
                <wp:positionH relativeFrom="column">
                  <wp:posOffset>12195266</wp:posOffset>
                </wp:positionH>
                <wp:positionV relativeFrom="paragraph">
                  <wp:posOffset>9106807</wp:posOffset>
                </wp:positionV>
                <wp:extent cx="693781" cy="0"/>
                <wp:effectExtent l="38100" t="38100" r="0" b="50800"/>
                <wp:wrapNone/>
                <wp:docPr id="36" name="Straight Connector 12">
                  <a:extLst xmlns:a="http://schemas.openxmlformats.org/drawingml/2006/main">
                    <a:ext uri="{FF2B5EF4-FFF2-40B4-BE49-F238E27FC236}">
                      <a16:creationId xmlns:a16="http://schemas.microsoft.com/office/drawing/2014/main" id="{AF2FDE6D-B161-87CC-7A10-4B0DE934D199}"/>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93781" cy="0"/>
                        </a:xfrm>
                        <a:prstGeom prst="line">
                          <a:avLst/>
                        </a:pr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49B98FAD">
              <v:line id="Straight Connector 12" style="position:absolute;flip:x;z-index:251665408;visibility:visible;mso-wrap-style:square;mso-wrap-distance-left:9pt;mso-wrap-distance-top:0;mso-wrap-distance-right:9pt;mso-wrap-distance-bottom:0;mso-position-horizontal:absolute;mso-position-horizontal-relative:text;mso-position-vertical:absolute;mso-position-vertical-relative:text" o:spid="_x0000_s1026" strokecolor="#5a5a5a [2109]" strokeweight="1pt" from="960.25pt,717.05pt" to="1014.9pt,717.05pt" w14:anchorId="5CE0F87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">
                <v:stroke dashstyle="dash" endarrow="oval"/>
                <o:lock v:ext="edit" shapetype="f"/>
              </v:line>
            </w:pict>
          </mc:Fallback>
        </mc:AlternateContent>
      </w:r>
      <w:r w:rsidRPr="00932CC4">
        <w:rPr>
          <w:rFonts w:eastAsia="IBM Plex Sans"/>
        </w:rPr>
        <mc:AlternateContent>
          <mc:Choice Requires="wps">
            <w:drawing>
              <wp:anchor distT="0" distB="0" distL="114300" distR="114300" simplePos="0" relativeHeight="251658247" behindDoc="0" locked="0" layoutInCell="1" allowOverlap="1" wp14:anchorId="6757500A" wp14:editId="1BA680DA">
                <wp:simplePos x="0" y="0"/>
                <wp:positionH relativeFrom="column">
                  <wp:posOffset>32709394</wp:posOffset>
                </wp:positionH>
                <wp:positionV relativeFrom="paragraph">
                  <wp:posOffset>9106807</wp:posOffset>
                </wp:positionV>
                <wp:extent cx="604987" cy="0"/>
                <wp:effectExtent l="0" t="38100" r="55880" b="50800"/>
                <wp:wrapNone/>
                <wp:docPr id="45" name="Straight Connector 12">
                  <a:extLst xmlns:a="http://schemas.openxmlformats.org/drawingml/2006/main">
                    <a:ext uri="{FF2B5EF4-FFF2-40B4-BE49-F238E27FC236}">
                      <a16:creationId xmlns:a16="http://schemas.microsoft.com/office/drawing/2014/main" id="{7C253CF8-82E6-232F-2938-73B4E442A9A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4987" cy="0"/>
                        </a:xfrm>
                        <a:prstGeom prst="line">
                          <a:avLst/>
                        </a:prstGeom>
                        <a:noFill/>
                        <a:ln w="12700">
                          <a:solidFill>
                            <a:schemeClr val="tx1">
                              <a:lumMod val="65000"/>
                              <a:lumOff val="35000"/>
                            </a:schemeClr>
                          </a:solidFill>
                          <a:prstDash val="dash"/>
                          <a:tailEnd type="ova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ma14="http://schemas.microsoft.com/office/mac/drawingml/2011/main" xmlns:arto="http://schemas.microsoft.com/office/word/2006/arto">
            <w:pict w14:anchorId="4B736C2F">
              <v:line id="Straight Connector 12" style="position:absolute;z-index:251666432;visibility:visible;mso-wrap-style:square;mso-wrap-distance-left:9pt;mso-wrap-distance-top:0;mso-wrap-distance-right:9pt;mso-wrap-distance-bottom:0;mso-position-horizontal:absolute;mso-position-horizontal-relative:text;mso-position-vertical:absolute;mso-position-vertical-relative:text" o:spid="_x0000_s1026" strokecolor="#5a5a5a [2109]" strokeweight="1pt" from="2575.55pt,717.05pt" to="2623.2pt,717.05pt" w14:anchorId="61A9B5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">
                <v:stroke dashstyle="dash" endarrow="oval"/>
                <o:lock v:ext="edit" shapetype="f"/>
              </v:line>
            </w:pict>
          </mc:Fallback>
        </mc:AlternateContent>
      </w:r>
      <w:r w:rsidRPr="00932CC4">
        <w:rPr>
          <w:rFonts w:eastAsia="IBM Plex Sans"/>
        </w:rPr>
        <mc:AlternateContent>
          <mc:Choice Requires="wps">
            <w:drawing>
              <wp:anchor distT="0" distB="0" distL="114300" distR="114300" simplePos="0" relativeHeight="251658248" behindDoc="0" locked="0" layoutInCell="1" allowOverlap="1" wp14:anchorId="5DA9F047" wp14:editId="5B73BFC3">
                <wp:simplePos x="0" y="0"/>
                <wp:positionH relativeFrom="column">
                  <wp:posOffset>34311771</wp:posOffset>
                </wp:positionH>
                <wp:positionV relativeFrom="paragraph">
                  <wp:posOffset>14856641</wp:posOffset>
                </wp:positionV>
                <wp:extent cx="6150314" cy="2538933"/>
                <wp:effectExtent l="0" t="0" r="0" b="0"/>
                <wp:wrapNone/>
                <wp:docPr id="4" name="Text Placeholder 6">
                  <a:extLst xmlns:a="http://schemas.openxmlformats.org/drawingml/2006/main">
                    <a:ext uri="{FF2B5EF4-FFF2-40B4-BE49-F238E27FC236}">
                      <a16:creationId xmlns:a16="http://schemas.microsoft.com/office/drawing/2014/main" id="{206EF8CA-6699-CCAB-AE21-D64AE012AF0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50314" cy="2538933"/>
                        </a:xfrm>
                        <a:prstGeom prst="rect">
                          <a:avLst/>
                        </a:prstGeom>
                      </wps:spPr>
                      <wps:txbx>
                        <w:txbxContent>
                          <w:p w14:paraId="53EE79AA"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QES patented assets &amp; accelerators</w:t>
                            </w:r>
                          </w:p>
                          <w:p w14:paraId="7EBE4299"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IBM Quality platform + - an AI / ML-based cognitive engine enabling end2-end QE</w:t>
                            </w:r>
                          </w:p>
                          <w:p w14:paraId="640DF199"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Automated GenAI Assisted Test Case Design</w:t>
                            </w:r>
                          </w:p>
                          <w:p w14:paraId="05FA6AE7"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Predictive Defect Analytics</w:t>
                            </w:r>
                          </w:p>
                        </w:txbxContent>
                      </wps:txbx>
                      <wps:bodyPr lIns="0" tIns="0" rIns="0" bIns="0"/>
                    </wps:wsp>
                  </a:graphicData>
                </a:graphic>
              </wp:anchor>
            </w:drawing>
          </mc:Choice>
          <mc:Fallback>
            <w:pict>
              <v:shape w14:anchorId="5DA9F047" id="_x0000_s1049" type="#_x0000_t202" style="position:absolute;margin-left:2701.7pt;margin-top:1169.8pt;width:484.3pt;height:199.9pt;z-index:251658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" filled="f" stroked="f">
                <v:textbox inset="0,0,0,0">
                  <w:txbxContent>
                    <w:p w14:paraId="53EE79AA"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QES patented assets &amp; accelerators</w:t>
                      </w:r>
                    </w:p>
                    <w:p w14:paraId="7EBE4299"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IBM Quality platform + - an AI / ML-based cognitive engine enabling end2-end QE</w:t>
                      </w:r>
                    </w:p>
                    <w:p w14:paraId="640DF199"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Automated GenAI Assisted Test Case Design</w:t>
                      </w:r>
                    </w:p>
                    <w:p w14:paraId="05FA6AE7" w14:textId="77777777" w:rsidR="00602BCB" w:rsidRDefault="00602BCB" w:rsidP="00602BCB">
                      <w:pPr>
                        <w:numPr>
                          <w:ilvl w:val="0"/>
                          <w:numId w:val="25"/>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Predictive Defect Analytics</w:t>
                      </w:r>
                    </w:p>
                  </w:txbxContent>
                </v:textbox>
              </v:shape>
            </w:pict>
          </mc:Fallback>
        </mc:AlternateContent>
      </w:r>
      <w:r w:rsidRPr="00932CC4">
        <w:rPr>
          <w:rFonts w:eastAsia="IBM Plex Sans"/>
        </w:rPr>
        <mc:AlternateContent>
          <mc:Choice Requires="wps">
            <w:drawing>
              <wp:anchor distT="0" distB="0" distL="114300" distR="114300" simplePos="0" relativeHeight="251658249" behindDoc="0" locked="0" layoutInCell="1" allowOverlap="1" wp14:anchorId="0290923B" wp14:editId="7F46949B">
                <wp:simplePos x="0" y="0"/>
                <wp:positionH relativeFrom="column">
                  <wp:posOffset>34311771</wp:posOffset>
                </wp:positionH>
                <wp:positionV relativeFrom="paragraph">
                  <wp:posOffset>6740253</wp:posOffset>
                </wp:positionV>
                <wp:extent cx="5964388" cy="2538933"/>
                <wp:effectExtent l="0" t="0" r="0" b="0"/>
                <wp:wrapNone/>
                <wp:docPr id="1101565994" name="Text Placeholder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4388" cy="2538933"/>
                        </a:xfrm>
                        <a:prstGeom prst="rect">
                          <a:avLst/>
                        </a:prstGeom>
                      </wps:spPr>
                      <wps:txbx>
                        <w:txbxContent>
                          <w:p w14:paraId="2ACCA8DF"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Thought Leadership</w:t>
                            </w:r>
                          </w:p>
                          <w:p w14:paraId="08773E9E" w14:textId="77777777" w:rsidR="00602BCB" w:rsidRDefault="00602BCB" w:rsidP="00602BCB">
                            <w:pPr>
                              <w:numPr>
                                <w:ilvl w:val="0"/>
                                <w:numId w:val="26"/>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Dedicated Testing R&amp;D organization at Haifa, Israel , Armonk US and India Labs</w:t>
                            </w:r>
                          </w:p>
                          <w:p w14:paraId="61A9F170" w14:textId="77777777" w:rsidR="00602BCB" w:rsidRDefault="00602BCB" w:rsidP="00602BCB">
                            <w:pPr>
                              <w:numPr>
                                <w:ilvl w:val="0"/>
                                <w:numId w:val="26"/>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Forrester Leadership position calling out strategic focus on AI and Client Centricity</w:t>
                            </w:r>
                          </w:p>
                        </w:txbxContent>
                      </wps:txbx>
                      <wps:bodyPr lIns="0" tIns="0" rIns="0" bIns="0"/>
                    </wps:wsp>
                  </a:graphicData>
                </a:graphic>
              </wp:anchor>
            </w:drawing>
          </mc:Choice>
          <mc:Fallback>
            <w:pict>
              <v:shape w14:anchorId="0290923B" id="_x0000_s1050" type="#_x0000_t202" style="position:absolute;margin-left:2701.7pt;margin-top:530.75pt;width:469.65pt;height:199.9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" filled="f" stroked="f">
                <v:textbox inset="0,0,0,0">
                  <w:txbxContent>
                    <w:p w14:paraId="2ACCA8DF"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Thought Leadership</w:t>
                      </w:r>
                    </w:p>
                    <w:p w14:paraId="08773E9E" w14:textId="77777777" w:rsidR="00602BCB" w:rsidRDefault="00602BCB" w:rsidP="00602BCB">
                      <w:pPr>
                        <w:numPr>
                          <w:ilvl w:val="0"/>
                          <w:numId w:val="26"/>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Dedicated Testing R&amp;D organization at Haifa, Israel , Armonk US and India Labs</w:t>
                      </w:r>
                    </w:p>
                    <w:p w14:paraId="61A9F170" w14:textId="77777777" w:rsidR="00602BCB" w:rsidRDefault="00602BCB" w:rsidP="00602BCB">
                      <w:pPr>
                        <w:numPr>
                          <w:ilvl w:val="0"/>
                          <w:numId w:val="26"/>
                        </w:numPr>
                        <w:spacing w:before="0" w:after="0" w:line="264" w:lineRule="auto"/>
                        <w:textAlignment w:val="baseline"/>
                        <w:rPr>
                          <w:rFonts w:ascii="IBM Plex Sans" w:eastAsia="IBM Plex Sans" w:hAnsi="IBM Plex Sans" w:cs="IBM Plex Sans"/>
                          <w:kern w:val="24"/>
                          <w:sz w:val="40"/>
                          <w:szCs w:val="40"/>
                        </w:rPr>
                      </w:pPr>
                      <w:r>
                        <w:rPr>
                          <w:rFonts w:ascii="IBM Plex Sans" w:eastAsia="IBM Plex Sans" w:hAnsi="IBM Plex Sans" w:cs="IBM Plex Sans"/>
                          <w:kern w:val="24"/>
                          <w:sz w:val="40"/>
                          <w:szCs w:val="40"/>
                        </w:rPr>
                        <w:t>Forrester Leadership position calling out strategic focus on AI and Client Centricity</w:t>
                      </w:r>
                    </w:p>
                  </w:txbxContent>
                </v:textbox>
              </v:shape>
            </w:pict>
          </mc:Fallback>
        </mc:AlternateContent>
      </w:r>
      <w:r w:rsidRPr="00932CC4">
        <w:rPr>
          <w:rFonts w:eastAsia="IBM Plex Sans"/>
        </w:rPr>
        <mc:AlternateContent>
          <mc:Choice Requires="wps">
            <w:drawing>
              <wp:anchor distT="0" distB="0" distL="114300" distR="114300" simplePos="0" relativeHeight="251658250" behindDoc="0" locked="0" layoutInCell="1" allowOverlap="1" wp14:anchorId="51C000D6" wp14:editId="4DECEC54">
                <wp:simplePos x="0" y="0"/>
                <wp:positionH relativeFrom="column">
                  <wp:posOffset>34311771</wp:posOffset>
                </wp:positionH>
                <wp:positionV relativeFrom="paragraph">
                  <wp:posOffset>182699</wp:posOffset>
                </wp:positionV>
                <wp:extent cx="5835368" cy="2538933"/>
                <wp:effectExtent l="0" t="0" r="0" b="0"/>
                <wp:wrapNone/>
                <wp:docPr id="9" name="Text Placeholder 6">
                  <a:extLst xmlns:a="http://schemas.openxmlformats.org/drawingml/2006/main">
                    <a:ext uri="{FF2B5EF4-FFF2-40B4-BE49-F238E27FC236}">
                      <a16:creationId xmlns:a16="http://schemas.microsoft.com/office/drawing/2014/main" id="{1E188CF8-F315-5982-1E6D-33B1C3D282A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35368" cy="2538933"/>
                        </a:xfrm>
                        <a:prstGeom prst="rect">
                          <a:avLst/>
                        </a:prstGeom>
                      </wps:spPr>
                      <wps:txbx>
                        <w:txbxContent>
                          <w:p w14:paraId="51968555"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Delivery Capability</w:t>
                            </w:r>
                          </w:p>
                          <w:p w14:paraId="1685EA91" w14:textId="067823BF" w:rsidR="00602BCB" w:rsidRDefault="00602BCB" w:rsidP="00602BCB">
                            <w:pPr>
                              <w:numPr>
                                <w:ilvl w:val="0"/>
                                <w:numId w:val="27"/>
                              </w:numPr>
                              <w:spacing w:before="0" w:after="0" w:line="264" w:lineRule="auto"/>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15000+ people spread</w:t>
                            </w:r>
                            <w:r w:rsidR="00C15E3E">
                              <w:rPr>
                                <w:rFonts w:ascii="IBM Plex Sans" w:eastAsiaTheme="majorEastAsia" w:hAnsi="IBM Plex Sans" w:cstheme="majorBidi"/>
                                <w:kern w:val="24"/>
                                <w:sz w:val="40"/>
                                <w:szCs w:val="40"/>
                              </w:rPr>
                              <w:t xml:space="preserve"> </w:t>
                            </w:r>
                            <w:r>
                              <w:rPr>
                                <w:rFonts w:ascii="IBM Plex Sans" w:eastAsiaTheme="majorEastAsia" w:hAnsi="IBM Plex Sans" w:cstheme="majorBidi"/>
                                <w:kern w:val="24"/>
                                <w:sz w:val="40"/>
                                <w:szCs w:val="40"/>
                              </w:rPr>
                              <w:t>across 40 Global Innovation &amp; Delivery Centers with 98% repeat business</w:t>
                            </w:r>
                          </w:p>
                          <w:p w14:paraId="2A848A9A" w14:textId="77777777" w:rsidR="00602BCB" w:rsidRDefault="00602BCB" w:rsidP="00602BCB">
                            <w:pPr>
                              <w:numPr>
                                <w:ilvl w:val="0"/>
                                <w:numId w:val="27"/>
                              </w:numPr>
                              <w:spacing w:before="0" w:after="0" w:line="264" w:lineRule="auto"/>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Continued focus on reskilling and upskilling with special drive to infuse cloud and AI technology</w:t>
                            </w:r>
                          </w:p>
                        </w:txbxContent>
                      </wps:txbx>
                      <wps:bodyPr lIns="0" tIns="0" rIns="0" bIns="0"/>
                    </wps:wsp>
                  </a:graphicData>
                </a:graphic>
              </wp:anchor>
            </w:drawing>
          </mc:Choice>
          <mc:Fallback>
            <w:pict>
              <v:shape w14:anchorId="51C000D6" id="_x0000_s1051" type="#_x0000_t202" style="position:absolute;margin-left:2701.7pt;margin-top:14.4pt;width:459.5pt;height:199.9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" filled="f" stroked="f">
                <v:textbox inset="0,0,0,0">
                  <w:txbxContent>
                    <w:p w14:paraId="51968555" w14:textId="77777777" w:rsidR="00602BCB" w:rsidRDefault="00602BCB" w:rsidP="00602BCB">
                      <w:pPr>
                        <w:spacing w:after="120" w:line="264" w:lineRule="auto"/>
                        <w:textAlignment w:val="baseline"/>
                        <w:rPr>
                          <w:rFonts w:asciiTheme="majorHAnsi" w:eastAsiaTheme="majorEastAsia" w:hAnsi="Cambria" w:cstheme="majorBidi"/>
                          <w:b/>
                          <w:bCs/>
                          <w:color w:val="003F69" w:themeColor="accent1"/>
                          <w:kern w:val="24"/>
                          <w:position w:val="1"/>
                          <w:sz w:val="56"/>
                          <w:szCs w:val="56"/>
                        </w:rPr>
                      </w:pPr>
                      <w:r>
                        <w:rPr>
                          <w:rFonts w:asciiTheme="majorHAnsi" w:eastAsiaTheme="majorEastAsia" w:hAnsi="Cambria" w:cstheme="majorBidi"/>
                          <w:b/>
                          <w:bCs/>
                          <w:color w:val="003F69" w:themeColor="accent1"/>
                          <w:kern w:val="24"/>
                          <w:position w:val="1"/>
                          <w:sz w:val="56"/>
                          <w:szCs w:val="56"/>
                        </w:rPr>
                        <w:t>Delivery Capability</w:t>
                      </w:r>
                    </w:p>
                    <w:p w14:paraId="1685EA91" w14:textId="067823BF" w:rsidR="00602BCB" w:rsidRDefault="00602BCB" w:rsidP="00602BCB">
                      <w:pPr>
                        <w:numPr>
                          <w:ilvl w:val="0"/>
                          <w:numId w:val="27"/>
                        </w:numPr>
                        <w:spacing w:before="0" w:after="0" w:line="264" w:lineRule="auto"/>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15000+ people spread</w:t>
                      </w:r>
                      <w:r w:rsidR="00C15E3E">
                        <w:rPr>
                          <w:rFonts w:ascii="IBM Plex Sans" w:eastAsiaTheme="majorEastAsia" w:hAnsi="IBM Plex Sans" w:cstheme="majorBidi"/>
                          <w:kern w:val="24"/>
                          <w:sz w:val="40"/>
                          <w:szCs w:val="40"/>
                        </w:rPr>
                        <w:t xml:space="preserve"> </w:t>
                      </w:r>
                      <w:r>
                        <w:rPr>
                          <w:rFonts w:ascii="IBM Plex Sans" w:eastAsiaTheme="majorEastAsia" w:hAnsi="IBM Plex Sans" w:cstheme="majorBidi"/>
                          <w:kern w:val="24"/>
                          <w:sz w:val="40"/>
                          <w:szCs w:val="40"/>
                        </w:rPr>
                        <w:t>across 40 Global Innovation &amp; Delivery Centers with 98% repeat business</w:t>
                      </w:r>
                    </w:p>
                    <w:p w14:paraId="2A848A9A" w14:textId="77777777" w:rsidR="00602BCB" w:rsidRDefault="00602BCB" w:rsidP="00602BCB">
                      <w:pPr>
                        <w:numPr>
                          <w:ilvl w:val="0"/>
                          <w:numId w:val="27"/>
                        </w:numPr>
                        <w:spacing w:before="0" w:after="0" w:line="264" w:lineRule="auto"/>
                        <w:textAlignment w:val="baseline"/>
                        <w:rPr>
                          <w:rFonts w:ascii="IBM Plex Sans" w:eastAsiaTheme="majorEastAsia" w:hAnsi="IBM Plex Sans" w:cstheme="majorBidi"/>
                          <w:kern w:val="24"/>
                          <w:sz w:val="40"/>
                          <w:szCs w:val="40"/>
                        </w:rPr>
                      </w:pPr>
                      <w:r>
                        <w:rPr>
                          <w:rFonts w:ascii="IBM Plex Sans" w:eastAsiaTheme="majorEastAsia" w:hAnsi="IBM Plex Sans" w:cstheme="majorBidi"/>
                          <w:kern w:val="24"/>
                          <w:sz w:val="40"/>
                          <w:szCs w:val="40"/>
                        </w:rPr>
                        <w:t>Continued focus on reskilling and upskilling with special drive to infuse cloud and AI technology</w:t>
                      </w:r>
                    </w:p>
                  </w:txbxContent>
                </v:textbox>
              </v:shape>
            </w:pict>
          </mc:Fallback>
        </mc:AlternateContent>
      </w:r>
      <w:bookmarkStart w:id="14" w:name="_Toc211641125"/>
      <w:bookmarkEnd w:id="12"/>
      <w:r w:rsidR="00932CC4">
        <w:rPr>
          <w:rFonts w:eastAsia="IBM Plex Sans"/>
        </w:rPr>
        <w:t xml:space="preserve">3.1.5 </w:t>
      </w:r>
      <w:r w:rsidRPr="00932CC4">
        <w:rPr>
          <w:rFonts w:eastAsia="IBM Plex Sans"/>
        </w:rPr>
        <w:t>IBM Staffing Strategy for CalSAWS</w:t>
      </w:r>
      <w:bookmarkEnd w:id="13"/>
      <w:bookmarkEnd w:id="14"/>
    </w:p>
    <w:p w14:paraId="2BBCFF65" w14:textId="7DC5922F" w:rsidR="00DE79C5" w:rsidRPr="00DE79C5" w:rsidRDefault="00DE79C5" w:rsidP="007904C1">
      <w:pPr>
        <w:pStyle w:val="CS-IBMResponseText"/>
        <w:rPr>
          <w:rFonts w:eastAsia="IBM Plex Sans"/>
        </w:rPr>
      </w:pPr>
      <w:r w:rsidRPr="00DE79C5">
        <w:rPr>
          <w:rFonts w:eastAsia="IBM Plex Sans"/>
        </w:rPr>
        <w:t xml:space="preserve">IBM’s staffing strategy for the CalSAWS Consortium delivers a </w:t>
      </w:r>
      <w:r w:rsidRPr="00DE79C5">
        <w:rPr>
          <w:rFonts w:eastAsia="IBM Plex Sans"/>
          <w:b/>
          <w:bCs/>
        </w:rPr>
        <w:t>high-performing, scalable, and cost-effective model</w:t>
      </w:r>
      <w:r w:rsidRPr="00DE79C5">
        <w:rPr>
          <w:rFonts w:eastAsia="IBM Plex Sans"/>
        </w:rPr>
        <w:t xml:space="preserve"> that combines global QA excellence with deep, California-specific program knowledge. Through a </w:t>
      </w:r>
      <w:r w:rsidRPr="00DE79C5">
        <w:rPr>
          <w:rFonts w:eastAsia="IBM Plex Sans"/>
          <w:b/>
          <w:bCs/>
        </w:rPr>
        <w:t>hybrid delivery framework</w:t>
      </w:r>
      <w:r w:rsidRPr="00DE79C5">
        <w:rPr>
          <w:rFonts w:eastAsia="IBM Plex Sans"/>
        </w:rPr>
        <w:t>—anchored by onsite leadership in Sacramento and supported by U.S.-based remote execution—IBM ensures strategic alignment, operational agility, and continuous innovation across all QA functions.</w:t>
      </w:r>
    </w:p>
    <w:p w14:paraId="3969D7F6" w14:textId="6931EE69" w:rsidR="00DE79C5" w:rsidRDefault="00DE79C5" w:rsidP="00DE79C5">
      <w:pPr>
        <w:pStyle w:val="NormalWeb"/>
        <w:rPr>
          <w:rFonts w:ascii="Century Gothic" w:eastAsia="IBM Plex Sans" w:hAnsi="Century Gothic" w:cs="Arial"/>
          <w:color w:val="0D0D0D" w:themeColor="text1" w:themeTint="F2"/>
          <w:sz w:val="22"/>
          <w:szCs w:val="21"/>
        </w:rPr>
      </w:pPr>
      <w:r w:rsidRPr="3997A780">
        <w:rPr>
          <w:rFonts w:ascii="Century Gothic" w:eastAsia="IBM Plex Sans" w:hAnsi="Century Gothic" w:cs="Arial"/>
          <w:color w:val="0D0D0D" w:themeColor="text2" w:themeTint="F2"/>
          <w:sz w:val="22"/>
          <w:szCs w:val="22"/>
        </w:rPr>
        <w:t>What ma</w:t>
      </w:r>
      <w:r w:rsidRPr="3997A780">
        <w:rPr>
          <w:rFonts w:ascii="Century Gothic" w:eastAsia="IBM Plex Sans" w:hAnsi="Century Gothic" w:cs="Arial"/>
          <w:b/>
          <w:color w:val="0D0D0D" w:themeColor="text2" w:themeTint="F2"/>
          <w:sz w:val="22"/>
          <w:szCs w:val="22"/>
        </w:rPr>
        <w:t>kes IBM’s approach</w:t>
      </w:r>
      <w:r w:rsidRPr="3997A780">
        <w:rPr>
          <w:rFonts w:ascii="Century Gothic" w:eastAsia="IBM Plex Sans" w:hAnsi="Century Gothic" w:cs="Arial"/>
          <w:color w:val="0D0D0D" w:themeColor="text2" w:themeTint="F2"/>
          <w:sz w:val="22"/>
          <w:szCs w:val="22"/>
        </w:rPr>
        <w:t xml:space="preserve"> distinct is the </w:t>
      </w:r>
      <w:r w:rsidRPr="3997A780">
        <w:rPr>
          <w:rFonts w:ascii="Century Gothic" w:eastAsia="IBM Plex Sans" w:hAnsi="Century Gothic" w:cs="Arial"/>
          <w:b/>
          <w:color w:val="0D0D0D" w:themeColor="text2" w:themeTint="F2"/>
          <w:sz w:val="22"/>
          <w:szCs w:val="22"/>
        </w:rPr>
        <w:t>strategic integration of specialized partners</w:t>
      </w:r>
      <w:r w:rsidRPr="3997A780">
        <w:rPr>
          <w:rFonts w:ascii="Century Gothic" w:eastAsia="IBM Plex Sans" w:hAnsi="Century Gothic" w:cs="Arial"/>
          <w:color w:val="0D0D0D" w:themeColor="text2" w:themeTint="F2"/>
          <w:sz w:val="22"/>
          <w:szCs w:val="22"/>
        </w:rPr>
        <w:t xml:space="preserve"> </w:t>
      </w:r>
      <w:r w:rsidRPr="3997A780">
        <w:rPr>
          <w:rFonts w:ascii="Century Gothic" w:eastAsia="IBM Plex Sans" w:hAnsi="Century Gothic" w:cs="Arial"/>
          <w:b/>
          <w:color w:val="0D0D0D" w:themeColor="text2" w:themeTint="F2"/>
          <w:sz w:val="22"/>
          <w:szCs w:val="22"/>
        </w:rPr>
        <w:t>KAI Partners</w:t>
      </w:r>
      <w:r w:rsidRPr="3997A780">
        <w:rPr>
          <w:rFonts w:ascii="Century Gothic" w:eastAsia="IBM Plex Sans" w:hAnsi="Century Gothic" w:cs="Arial"/>
          <w:color w:val="0D0D0D" w:themeColor="text2" w:themeTint="F2"/>
          <w:sz w:val="22"/>
          <w:szCs w:val="22"/>
        </w:rPr>
        <w:t xml:space="preserve"> and </w:t>
      </w:r>
      <w:r w:rsidRPr="3997A780">
        <w:rPr>
          <w:rFonts w:ascii="Century Gothic" w:eastAsia="IBM Plex Sans" w:hAnsi="Century Gothic" w:cs="Arial"/>
          <w:b/>
          <w:color w:val="0D0D0D" w:themeColor="text2" w:themeTint="F2"/>
          <w:sz w:val="22"/>
          <w:szCs w:val="22"/>
        </w:rPr>
        <w:t>Speridian Technologies</w:t>
      </w:r>
      <w:r w:rsidR="00CB2871" w:rsidRPr="3997A780">
        <w:rPr>
          <w:rFonts w:ascii="Century Gothic" w:eastAsia="IBM Plex Sans" w:hAnsi="Century Gothic" w:cs="Arial"/>
          <w:b/>
          <w:color w:val="0D0D0D" w:themeColor="text2" w:themeTint="F2"/>
          <w:sz w:val="22"/>
          <w:szCs w:val="22"/>
        </w:rPr>
        <w:t>,</w:t>
      </w:r>
      <w:r w:rsidRPr="3997A780">
        <w:rPr>
          <w:rFonts w:ascii="Century Gothic" w:eastAsia="IBM Plex Sans" w:hAnsi="Century Gothic" w:cs="Arial"/>
          <w:color w:val="0D0D0D" w:themeColor="text2" w:themeTint="F2"/>
          <w:sz w:val="22"/>
          <w:szCs w:val="22"/>
        </w:rPr>
        <w:t xml:space="preserve"> whose proven track records in California’s Health and Human Services (HHS) landscape complement IBM’s global depth in quality engineering, automation, and governance. Together, this coalition unites </w:t>
      </w:r>
      <w:r w:rsidRPr="3997A780">
        <w:rPr>
          <w:rFonts w:ascii="Century Gothic" w:eastAsia="IBM Plex Sans" w:hAnsi="Century Gothic" w:cs="Arial"/>
          <w:b/>
          <w:color w:val="0D0D0D" w:themeColor="text2" w:themeTint="F2"/>
          <w:sz w:val="22"/>
          <w:szCs w:val="22"/>
        </w:rPr>
        <w:t>world-class QA capabilities with local program insight</w:t>
      </w:r>
      <w:r w:rsidRPr="3997A780">
        <w:rPr>
          <w:rFonts w:ascii="Century Gothic" w:eastAsia="IBM Plex Sans" w:hAnsi="Century Gothic" w:cs="Arial"/>
          <w:color w:val="0D0D0D" w:themeColor="text2" w:themeTint="F2"/>
          <w:sz w:val="22"/>
          <w:szCs w:val="22"/>
        </w:rPr>
        <w:t xml:space="preserve"> </w:t>
      </w:r>
      <w:r w:rsidR="00D91AE4" w:rsidRPr="3997A780">
        <w:rPr>
          <w:rFonts w:ascii="Century Gothic" w:eastAsia="IBM Plex Sans" w:hAnsi="Century Gothic" w:cs="Arial"/>
          <w:color w:val="0D0D0D" w:themeColor="text2" w:themeTint="F2"/>
          <w:sz w:val="22"/>
          <w:szCs w:val="22"/>
        </w:rPr>
        <w:t xml:space="preserve">into one IBM Team </w:t>
      </w:r>
      <w:r w:rsidRPr="3997A780">
        <w:rPr>
          <w:rFonts w:ascii="Century Gothic" w:eastAsia="IBM Plex Sans" w:hAnsi="Century Gothic" w:cs="Arial"/>
          <w:color w:val="0D0D0D" w:themeColor="text2" w:themeTint="F2"/>
          <w:sz w:val="22"/>
          <w:szCs w:val="22"/>
        </w:rPr>
        <w:t>to serve the Consortium’s mission of delivering reliable, equitable, and citizen-centered service.</w:t>
      </w:r>
    </w:p>
    <w:p w14:paraId="171A5B6C" w14:textId="2288255B" w:rsidR="00102872" w:rsidRPr="00DE79C5" w:rsidRDefault="00C45314" w:rsidP="009E121A">
      <w:pPr>
        <w:spacing w:before="0" w:after="0"/>
        <w:rPr>
          <w:rFonts w:eastAsia="IBM Plex Sans" w:cs="Arial"/>
          <w:color w:val="0D0D0D" w:themeColor="text1" w:themeTint="F2"/>
          <w:szCs w:val="21"/>
        </w:rPr>
      </w:pPr>
      <w:r w:rsidRPr="3997A780">
        <w:rPr>
          <w:rFonts w:eastAsia="IBM Plex Sans" w:cs="Arial"/>
          <w:color w:val="0D0D0D" w:themeColor="text2" w:themeTint="F2"/>
        </w:rPr>
        <w:br w:type="page"/>
      </w:r>
    </w:p>
    <w:p w14:paraId="2C8ED74E" w14:textId="77777777" w:rsidR="00DE79C5" w:rsidRPr="00AB54BB" w:rsidRDefault="00102872" w:rsidP="00AB54BB">
      <w:pPr>
        <w:pStyle w:val="Heading4"/>
      </w:pPr>
      <w:r w:rsidRPr="00AB54BB">
        <w:lastRenderedPageBreak/>
        <w:t xml:space="preserve">A </w:t>
      </w:r>
      <w:r w:rsidR="00DE79C5" w:rsidRPr="00AB54BB">
        <w:t>Unified Team of Global and Local Strengths</w:t>
      </w:r>
    </w:p>
    <w:p w14:paraId="47AA994A" w14:textId="7DAECD6F" w:rsidR="006039A5" w:rsidRDefault="006039A5" w:rsidP="006039A5">
      <w:pPr>
        <w:pStyle w:val="Caption"/>
        <w:keepNext/>
        <w:jc w:val="center"/>
      </w:pPr>
      <w:bookmarkStart w:id="15" w:name="_Toc213064568"/>
      <w:r>
        <w:t xml:space="preserve">Table 3.1.1. </w:t>
      </w:r>
      <w:r>
        <w:fldChar w:fldCharType="begin"/>
      </w:r>
      <w:r>
        <w:instrText xml:space="preserve"> SEQ Table_3.1.1. \* ARABIC </w:instrText>
      </w:r>
      <w:r>
        <w:fldChar w:fldCharType="separate"/>
      </w:r>
      <w:r w:rsidR="00C435D1">
        <w:rPr>
          <w:noProof/>
        </w:rPr>
        <w:t>1</w:t>
      </w:r>
      <w:r>
        <w:fldChar w:fldCharType="end"/>
      </w:r>
      <w:r>
        <w:t xml:space="preserve"> </w:t>
      </w:r>
      <w:r w:rsidRPr="000F38C7">
        <w:t>A Unified Team of Global and Local Strengths</w:t>
      </w:r>
      <w:bookmarkEnd w:id="15"/>
    </w:p>
    <w:tbl>
      <w:tblPr>
        <w:tblStyle w:val="TableGrid"/>
        <w:tblW w:w="0" w:type="auto"/>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975"/>
        <w:gridCol w:w="2586"/>
        <w:gridCol w:w="4794"/>
      </w:tblGrid>
      <w:tr w:rsidR="00136750" w14:paraId="135D5402" w14:textId="77777777" w:rsidTr="007A7D54">
        <w:trPr>
          <w:cnfStyle w:val="100000000000" w:firstRow="1" w:lastRow="0" w:firstColumn="0" w:lastColumn="0" w:oddVBand="0" w:evenVBand="0" w:oddHBand="0" w:evenHBand="0" w:firstRowFirstColumn="0" w:firstRowLastColumn="0" w:lastRowFirstColumn="0" w:lastRowLastColumn="0"/>
          <w:trHeight w:val="566"/>
        </w:trPr>
        <w:tc>
          <w:tcPr>
            <w:tcW w:w="1975" w:type="dxa"/>
            <w:shd w:val="clear" w:color="auto" w:fill="0070C0"/>
            <w:hideMark/>
          </w:tcPr>
          <w:p w14:paraId="7EE68421" w14:textId="77777777" w:rsidR="00DE79C5" w:rsidRPr="000A7F87" w:rsidRDefault="00DE79C5" w:rsidP="000F7442">
            <w:pPr>
              <w:rPr>
                <w:b/>
                <w:bCs/>
                <w:color w:val="FFFFFF" w:themeColor="background1"/>
              </w:rPr>
            </w:pPr>
            <w:r w:rsidRPr="000A7F87">
              <w:rPr>
                <w:rStyle w:val="Strong"/>
                <w:color w:val="FFFFFF" w:themeColor="background1"/>
              </w:rPr>
              <w:t>Partner / Role</w:t>
            </w:r>
          </w:p>
        </w:tc>
        <w:tc>
          <w:tcPr>
            <w:tcW w:w="2586" w:type="dxa"/>
            <w:shd w:val="clear" w:color="auto" w:fill="0070C0"/>
            <w:hideMark/>
          </w:tcPr>
          <w:p w14:paraId="6C67DA0D" w14:textId="77777777" w:rsidR="00DE79C5" w:rsidRPr="000A7F87" w:rsidRDefault="00DE79C5" w:rsidP="000F7442">
            <w:pPr>
              <w:rPr>
                <w:b/>
                <w:bCs/>
                <w:color w:val="FFFFFF" w:themeColor="background1"/>
              </w:rPr>
            </w:pPr>
            <w:r w:rsidRPr="000A7F87">
              <w:rPr>
                <w:rStyle w:val="Strong"/>
                <w:color w:val="FFFFFF" w:themeColor="background1"/>
              </w:rPr>
              <w:t>Core Expertise</w:t>
            </w:r>
          </w:p>
        </w:tc>
        <w:tc>
          <w:tcPr>
            <w:tcW w:w="0" w:type="auto"/>
            <w:shd w:val="clear" w:color="auto" w:fill="0070C0"/>
            <w:hideMark/>
          </w:tcPr>
          <w:p w14:paraId="67250C7F" w14:textId="77777777" w:rsidR="00DE79C5" w:rsidRPr="000A7F87" w:rsidRDefault="00DE79C5" w:rsidP="000F7442">
            <w:pPr>
              <w:rPr>
                <w:b/>
                <w:bCs/>
                <w:color w:val="FFFFFF" w:themeColor="background1"/>
              </w:rPr>
            </w:pPr>
            <w:r w:rsidRPr="000A7F87">
              <w:rPr>
                <w:rStyle w:val="Strong"/>
                <w:color w:val="FFFFFF" w:themeColor="background1"/>
              </w:rPr>
              <w:t>Strategic Value to CalSAWS</w:t>
            </w:r>
          </w:p>
        </w:tc>
      </w:tr>
      <w:tr w:rsidR="00136750" w14:paraId="3C5DB428" w14:textId="77777777" w:rsidTr="007A7D54">
        <w:tc>
          <w:tcPr>
            <w:tcW w:w="1975" w:type="dxa"/>
            <w:hideMark/>
          </w:tcPr>
          <w:p w14:paraId="7E6C8B78" w14:textId="3F140701" w:rsidR="00BD36AC" w:rsidRDefault="000F7442" w:rsidP="000F7442">
            <w:r>
              <w:rPr>
                <w:noProof/>
              </w:rPr>
              <w:drawing>
                <wp:anchor distT="0" distB="0" distL="114300" distR="114300" simplePos="0" relativeHeight="251658254" behindDoc="0" locked="0" layoutInCell="1" allowOverlap="1" wp14:anchorId="199458A6" wp14:editId="37C229AB">
                  <wp:simplePos x="0" y="0"/>
                  <wp:positionH relativeFrom="column">
                    <wp:posOffset>176318</wp:posOffset>
                  </wp:positionH>
                  <wp:positionV relativeFrom="paragraph">
                    <wp:posOffset>125730</wp:posOffset>
                  </wp:positionV>
                  <wp:extent cx="750570" cy="326390"/>
                  <wp:effectExtent l="0" t="0" r="0" b="3810"/>
                  <wp:wrapNone/>
                  <wp:docPr id="615206749" name="Picture 29" descr="Blue and black tex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06749" name="Picture 29" descr="Blue and black text with black background&#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0570" cy="326390"/>
                          </a:xfrm>
                          <a:prstGeom prst="rect">
                            <a:avLst/>
                          </a:prstGeom>
                        </pic:spPr>
                      </pic:pic>
                    </a:graphicData>
                  </a:graphic>
                  <wp14:sizeRelH relativeFrom="page">
                    <wp14:pctWidth>0</wp14:pctWidth>
                  </wp14:sizeRelH>
                  <wp14:sizeRelV relativeFrom="page">
                    <wp14:pctHeight>0</wp14:pctHeight>
                  </wp14:sizeRelV>
                </wp:anchor>
              </w:drawing>
            </w:r>
          </w:p>
        </w:tc>
        <w:tc>
          <w:tcPr>
            <w:tcW w:w="2586" w:type="dxa"/>
            <w:hideMark/>
          </w:tcPr>
          <w:p w14:paraId="252F6405" w14:textId="1E99D1F7" w:rsidR="00DE79C5" w:rsidRDefault="00CF6F9C" w:rsidP="000F7442">
            <w:r>
              <w:t>IBM is a g</w:t>
            </w:r>
            <w:r w:rsidR="00DE79C5">
              <w:t>lobal leader in Quality Engineering, AI-driven automation (IQP+), performance testing, and QA governance for large-scale HHS systems.</w:t>
            </w:r>
          </w:p>
        </w:tc>
        <w:tc>
          <w:tcPr>
            <w:tcW w:w="0" w:type="auto"/>
            <w:hideMark/>
          </w:tcPr>
          <w:p w14:paraId="261CDD2C" w14:textId="77777777" w:rsidR="00DE79C5" w:rsidRDefault="00DE79C5" w:rsidP="000F7442">
            <w:r>
              <w:t>Brings mature QA processes, advanced analytics, and a proven multi-vendor coordination framework that drives efficiency and transparency across the ecosystem.</w:t>
            </w:r>
          </w:p>
        </w:tc>
      </w:tr>
      <w:tr w:rsidR="00136750" w14:paraId="5CF9DA1E" w14:textId="77777777" w:rsidTr="007A7D54">
        <w:tc>
          <w:tcPr>
            <w:tcW w:w="1975" w:type="dxa"/>
            <w:hideMark/>
          </w:tcPr>
          <w:p w14:paraId="71D52DD5" w14:textId="25F2F5D5" w:rsidR="00E228A1" w:rsidRDefault="000F7442" w:rsidP="000F7442">
            <w:pPr>
              <w:ind w:left="720" w:hanging="720"/>
            </w:pPr>
            <w:r>
              <w:rPr>
                <w:noProof/>
              </w:rPr>
              <w:drawing>
                <wp:anchor distT="0" distB="0" distL="114300" distR="114300" simplePos="0" relativeHeight="251658255" behindDoc="0" locked="0" layoutInCell="1" allowOverlap="1" wp14:anchorId="5C1B8E35" wp14:editId="2FD0868C">
                  <wp:simplePos x="0" y="0"/>
                  <wp:positionH relativeFrom="column">
                    <wp:posOffset>75142</wp:posOffset>
                  </wp:positionH>
                  <wp:positionV relativeFrom="paragraph">
                    <wp:posOffset>116840</wp:posOffset>
                  </wp:positionV>
                  <wp:extent cx="924560" cy="500380"/>
                  <wp:effectExtent l="0" t="0" r="2540" b="0"/>
                  <wp:wrapNone/>
                  <wp:docPr id="1127583568" name="Picture 30" descr="KAI Partners, In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I Partners, Inc. logo"/>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2172" b="23638"/>
                          <a:stretch>
                            <a:fillRect/>
                          </a:stretch>
                        </pic:blipFill>
                        <pic:spPr bwMode="auto">
                          <a:xfrm>
                            <a:off x="0" y="0"/>
                            <a:ext cx="924560" cy="500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28A1">
              <w:fldChar w:fldCharType="begin"/>
            </w:r>
            <w:r w:rsidR="00E228A1">
              <w:instrText xml:space="preserve"> INCLUDEPICTURE "https://media.licdn.com/dms/image/v2/D560BAQFlT5XLXZ4TAg/company-logo_200_200/B56ZeI_KgRHEAI-/0/1750349949225/kai_partners_logo?e=1762992000&amp;v=beta&amp;t=tWTkVqH8hvUgY4Gh2VcFsD1iy_1jk8fhf_A-BzPYoUY" \* MERGEFORMATINET </w:instrText>
            </w:r>
            <w:r w:rsidR="00E228A1">
              <w:fldChar w:fldCharType="separate"/>
            </w:r>
            <w:r w:rsidR="00E228A1">
              <w:fldChar w:fldCharType="end"/>
            </w:r>
          </w:p>
        </w:tc>
        <w:tc>
          <w:tcPr>
            <w:tcW w:w="2586" w:type="dxa"/>
            <w:hideMark/>
          </w:tcPr>
          <w:p w14:paraId="1A4C3347" w14:textId="45DBF26B" w:rsidR="00DE79C5" w:rsidRDefault="00CF6F9C" w:rsidP="000F7442">
            <w:r>
              <w:t xml:space="preserve">Kai Partners is a </w:t>
            </w:r>
            <w:r w:rsidR="00DE79C5">
              <w:t>Veteran-Owned Small Business with 20+ years supporting California public sector transformation, including CalSAWS.</w:t>
            </w:r>
          </w:p>
        </w:tc>
        <w:tc>
          <w:tcPr>
            <w:tcW w:w="0" w:type="auto"/>
            <w:hideMark/>
          </w:tcPr>
          <w:p w14:paraId="7857D7AC" w14:textId="77777777" w:rsidR="00DE79C5" w:rsidRDefault="00DE79C5" w:rsidP="000F7442">
            <w:r>
              <w:t>Provides deep CalSAWS and state HHS program knowledge, organizational change management, and human-centered delivery expertise that ensures continuity and alignment with county operations.</w:t>
            </w:r>
          </w:p>
        </w:tc>
      </w:tr>
      <w:tr w:rsidR="00136750" w14:paraId="094CC744" w14:textId="77777777" w:rsidTr="007A7D54">
        <w:tc>
          <w:tcPr>
            <w:tcW w:w="1975" w:type="dxa"/>
            <w:hideMark/>
          </w:tcPr>
          <w:p w14:paraId="78319BD1" w14:textId="74CDBC67" w:rsidR="00136750" w:rsidRDefault="000F7442" w:rsidP="000F7442">
            <w:r>
              <w:rPr>
                <w:noProof/>
              </w:rPr>
              <w:drawing>
                <wp:anchor distT="0" distB="0" distL="114300" distR="114300" simplePos="0" relativeHeight="251658256" behindDoc="0" locked="0" layoutInCell="1" allowOverlap="1" wp14:anchorId="5043D957" wp14:editId="4E1167EC">
                  <wp:simplePos x="0" y="0"/>
                  <wp:positionH relativeFrom="column">
                    <wp:posOffset>41910</wp:posOffset>
                  </wp:positionH>
                  <wp:positionV relativeFrom="paragraph">
                    <wp:posOffset>36407</wp:posOffset>
                  </wp:positionV>
                  <wp:extent cx="1055370" cy="551815"/>
                  <wp:effectExtent l="0" t="0" r="0" b="0"/>
                  <wp:wrapNone/>
                  <wp:docPr id="16172008" name="Picture 31" descr="Speridian Technologies Canada Incorporated - Atlassian Solutions Partner  Dir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peridian Technologies Canada Incorporated - Atlassian Solutions Partner  Directory"/>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55370" cy="551815"/>
                          </a:xfrm>
                          <a:prstGeom prst="rect">
                            <a:avLst/>
                          </a:prstGeom>
                          <a:noFill/>
                          <a:ln>
                            <a:noFill/>
                          </a:ln>
                        </pic:spPr>
                      </pic:pic>
                    </a:graphicData>
                  </a:graphic>
                  <wp14:sizeRelH relativeFrom="page">
                    <wp14:pctWidth>0</wp14:pctWidth>
                  </wp14:sizeRelH>
                  <wp14:sizeRelV relativeFrom="page">
                    <wp14:pctHeight>0</wp14:pctHeight>
                  </wp14:sizeRelV>
                </wp:anchor>
              </w:drawing>
            </w:r>
            <w:r w:rsidR="00136750">
              <w:fldChar w:fldCharType="begin"/>
            </w:r>
            <w:r w:rsidR="00136750">
              <w:instrText xml:space="preserve"> INCLUDEPICTURE "https://content.partnerpage.io/eyJidWNrZXQiOiJwYXJ0bmVycGFnZS5wcm9kIiwia2V5IjoibWVkaWEvY29udGFjdF9pbWFnZXMvZTMwODQxNGQtZTI2Zi00MWFlLWE5NzYtZDUyMTVkNWMzMTI2LzE0NWE0NTk1LTYzOGUtNGY2Zi05ZWY1LWI5ZjUwZmI3NzM2ZS5wbmciLCJlZGl0cyI6eyJ0b0Zvcm1hdCI6IndlYnAiLCJyZXNpemUiOnsid2lkdGgiOjEyMDAsImhlaWdodCI6NjI3LCJmaXQiOiJjb250YWluIiwiYmFja2dyb3VuZCI6eyJyIjoyNTUsImciOjI1NSwiYiI6MjU1LCJhbHBoYSI6MH19fX0=" \* MERGEFORMATINET </w:instrText>
            </w:r>
            <w:r w:rsidR="00136750">
              <w:fldChar w:fldCharType="separate"/>
            </w:r>
            <w:r w:rsidR="00136750">
              <w:fldChar w:fldCharType="end"/>
            </w:r>
          </w:p>
        </w:tc>
        <w:tc>
          <w:tcPr>
            <w:tcW w:w="2586" w:type="dxa"/>
            <w:hideMark/>
          </w:tcPr>
          <w:p w14:paraId="2233A8D9" w14:textId="3D920FB2" w:rsidR="00DE79C5" w:rsidRDefault="00CF6F9C" w:rsidP="000F7442">
            <w:r w:rsidRPr="00CF6F9C">
              <w:t>Speridian Technologies</w:t>
            </w:r>
            <w:r>
              <w:t xml:space="preserve"> </w:t>
            </w:r>
            <w:r w:rsidR="00DE79C5">
              <w:t>Global IT consulting firm</w:t>
            </w:r>
            <w:r w:rsidR="00BF0D5B">
              <w:t>,</w:t>
            </w:r>
            <w:r w:rsidR="00DE79C5">
              <w:t xml:space="preserve"> with </w:t>
            </w:r>
            <w:r w:rsidR="00BF0D5B">
              <w:t>local Sacramento presence</w:t>
            </w:r>
            <w:r w:rsidR="00322C5A">
              <w:t>,</w:t>
            </w:r>
            <w:r w:rsidR="00DE79C5">
              <w:t xml:space="preserve"> 20+ years of experience and 500+ public sector clients worldwide.</w:t>
            </w:r>
          </w:p>
        </w:tc>
        <w:tc>
          <w:tcPr>
            <w:tcW w:w="0" w:type="auto"/>
            <w:hideMark/>
          </w:tcPr>
          <w:p w14:paraId="32E1537E" w14:textId="52928B0F" w:rsidR="00DE79C5" w:rsidRDefault="00AC723F" w:rsidP="000F7442">
            <w:r>
              <w:t>Provides deep CalSAWS and</w:t>
            </w:r>
            <w:r w:rsidR="00B75E98">
              <w:t xml:space="preserve"> state HHS program knowledge.</w:t>
            </w:r>
            <w:r>
              <w:t xml:space="preserve"> </w:t>
            </w:r>
            <w:r w:rsidR="00DE79C5">
              <w:t xml:space="preserve">Contributes scalable digital transformation, cloud modernization, and customer experience capabilities to ensure that CalSAWS QA </w:t>
            </w:r>
            <w:r w:rsidR="00BF0D5B">
              <w:t xml:space="preserve">and testing </w:t>
            </w:r>
            <w:r w:rsidR="00DE79C5">
              <w:t>evolves alongside modernization initiatives.</w:t>
            </w:r>
          </w:p>
        </w:tc>
      </w:tr>
    </w:tbl>
    <w:p w14:paraId="618541E9" w14:textId="67C9ED26" w:rsidR="00DE79C5" w:rsidRDefault="00DE79C5" w:rsidP="00102872">
      <w:pPr>
        <w:spacing w:before="0" w:after="0"/>
      </w:pPr>
    </w:p>
    <w:p w14:paraId="503E690D" w14:textId="77777777" w:rsidR="00DE79C5" w:rsidRPr="00680466" w:rsidRDefault="00DE79C5" w:rsidP="006B5911">
      <w:pPr>
        <w:pStyle w:val="Heading4"/>
        <w:rPr>
          <w:i/>
        </w:rPr>
      </w:pPr>
      <w:r w:rsidRPr="00680466">
        <w:t>The Power of Partnership</w:t>
      </w:r>
    </w:p>
    <w:p w14:paraId="0550F6A9" w14:textId="706BAF4E" w:rsidR="00DE79C5" w:rsidRPr="00D0753F" w:rsidRDefault="00DE79C5" w:rsidP="00DE79C5">
      <w:pPr>
        <w:pStyle w:val="NormalWeb"/>
        <w:rPr>
          <w:rFonts w:ascii="Century Gothic" w:eastAsia="IBM Plex Sans" w:hAnsi="Century Gothic" w:cs="Arial"/>
          <w:color w:val="0D0D0D" w:themeColor="text1" w:themeTint="F2"/>
          <w:sz w:val="22"/>
          <w:szCs w:val="22"/>
        </w:rPr>
      </w:pPr>
      <w:r w:rsidRPr="70E80950">
        <w:rPr>
          <w:rFonts w:ascii="Century Gothic" w:eastAsia="IBM Plex Sans" w:hAnsi="Century Gothic" w:cs="Arial"/>
          <w:color w:val="0D0D0D" w:themeColor="text2" w:themeTint="F2"/>
          <w:sz w:val="22"/>
          <w:szCs w:val="22"/>
        </w:rPr>
        <w:t xml:space="preserve">This integrated team represents </w:t>
      </w:r>
      <w:r w:rsidR="61D8E108" w:rsidRPr="70E80950">
        <w:rPr>
          <w:rFonts w:ascii="Century Gothic" w:eastAsia="IBM Plex Sans" w:hAnsi="Century Gothic" w:cs="Arial"/>
          <w:b/>
          <w:bCs/>
          <w:color w:val="0D0D0D" w:themeColor="text2" w:themeTint="F2"/>
          <w:sz w:val="22"/>
          <w:szCs w:val="22"/>
        </w:rPr>
        <w:t>bringing world-class and proven innovation by global systems integrator and technology company, like IBM, along with our local partner ecosystem, and unified delivery approach – The “One Team”</w:t>
      </w:r>
      <w:r w:rsidR="00FF2BD1">
        <w:rPr>
          <w:rFonts w:ascii="Century Gothic" w:eastAsia="IBM Plex Sans" w:hAnsi="Century Gothic" w:cs="Arial"/>
          <w:b/>
          <w:bCs/>
          <w:color w:val="0D0D0D" w:themeColor="text2" w:themeTint="F2"/>
          <w:sz w:val="22"/>
          <w:szCs w:val="22"/>
        </w:rPr>
        <w:t xml:space="preserve"> </w:t>
      </w:r>
      <w:r w:rsidRPr="70E80950">
        <w:rPr>
          <w:rFonts w:ascii="Century Gothic" w:eastAsia="IBM Plex Sans" w:hAnsi="Century Gothic" w:cs="Arial"/>
          <w:b/>
          <w:bCs/>
          <w:color w:val="0D0D0D" w:themeColor="text2" w:themeTint="F2"/>
          <w:sz w:val="22"/>
          <w:szCs w:val="22"/>
        </w:rPr>
        <w:t>worlds</w:t>
      </w:r>
      <w:r w:rsidRPr="70E80950">
        <w:rPr>
          <w:rFonts w:ascii="Century Gothic" w:eastAsia="IBM Plex Sans" w:hAnsi="Century Gothic" w:cs="Arial"/>
          <w:color w:val="0D0D0D" w:themeColor="text2" w:themeTint="F2"/>
          <w:sz w:val="22"/>
          <w:szCs w:val="22"/>
        </w:rPr>
        <w:t>:</w:t>
      </w:r>
    </w:p>
    <w:p w14:paraId="0E136A32" w14:textId="77777777" w:rsidR="00DE79C5" w:rsidRPr="00D0753F" w:rsidRDefault="00DE79C5" w:rsidP="00DE79C5">
      <w:pPr>
        <w:pStyle w:val="NormalWeb"/>
        <w:numPr>
          <w:ilvl w:val="0"/>
          <w:numId w:val="28"/>
        </w:numPr>
        <w:spacing w:before="100" w:beforeAutospacing="1" w:after="100" w:afterAutospacing="1"/>
        <w:rPr>
          <w:rFonts w:ascii="Century Gothic" w:eastAsia="IBM Plex Sans" w:hAnsi="Century Gothic" w:cs="Arial"/>
          <w:color w:val="0D0D0D" w:themeColor="text1" w:themeTint="F2"/>
          <w:sz w:val="22"/>
          <w:szCs w:val="21"/>
        </w:rPr>
      </w:pPr>
      <w:r w:rsidRPr="00D0753F">
        <w:rPr>
          <w:rFonts w:ascii="Century Gothic" w:eastAsia="IBM Plex Sans" w:hAnsi="Century Gothic" w:cs="Arial"/>
          <w:b/>
          <w:bCs/>
          <w:color w:val="0D0D0D" w:themeColor="text1" w:themeTint="F2"/>
          <w:sz w:val="22"/>
          <w:szCs w:val="21"/>
        </w:rPr>
        <w:t>IBM’s global QA innovation</w:t>
      </w:r>
      <w:r w:rsidRPr="00D0753F">
        <w:rPr>
          <w:rFonts w:ascii="Century Gothic" w:eastAsia="IBM Plex Sans" w:hAnsi="Century Gothic" w:cs="Arial"/>
          <w:color w:val="0D0D0D" w:themeColor="text1" w:themeTint="F2"/>
          <w:sz w:val="22"/>
          <w:szCs w:val="21"/>
        </w:rPr>
        <w:t xml:space="preserve"> — proven methodologies, AI-driven automation, predictive analytics, and governance discipline refined through decades of enterprise-scale QA delivery.</w:t>
      </w:r>
    </w:p>
    <w:p w14:paraId="19DDA781" w14:textId="77777777" w:rsidR="00DE79C5" w:rsidRPr="00D0753F" w:rsidRDefault="00DE79C5" w:rsidP="00DE79C5">
      <w:pPr>
        <w:pStyle w:val="NormalWeb"/>
        <w:numPr>
          <w:ilvl w:val="0"/>
          <w:numId w:val="28"/>
        </w:numPr>
        <w:spacing w:before="100" w:beforeAutospacing="1" w:after="100" w:afterAutospacing="1"/>
        <w:rPr>
          <w:rFonts w:ascii="Century Gothic" w:eastAsia="IBM Plex Sans" w:hAnsi="Century Gothic" w:cs="Arial"/>
          <w:color w:val="0D0D0D" w:themeColor="text1" w:themeTint="F2"/>
          <w:sz w:val="22"/>
          <w:szCs w:val="21"/>
        </w:rPr>
      </w:pPr>
      <w:r w:rsidRPr="00D0753F">
        <w:rPr>
          <w:rFonts w:ascii="Century Gothic" w:eastAsia="IBM Plex Sans" w:hAnsi="Century Gothic" w:cs="Arial"/>
          <w:b/>
          <w:bCs/>
          <w:color w:val="0D0D0D" w:themeColor="text1" w:themeTint="F2"/>
          <w:sz w:val="22"/>
          <w:szCs w:val="21"/>
        </w:rPr>
        <w:t>Partner domain expertise</w:t>
      </w:r>
      <w:r w:rsidRPr="00D0753F">
        <w:rPr>
          <w:rFonts w:ascii="Century Gothic" w:eastAsia="IBM Plex Sans" w:hAnsi="Century Gothic" w:cs="Arial"/>
          <w:color w:val="0D0D0D" w:themeColor="text1" w:themeTint="F2"/>
          <w:sz w:val="22"/>
          <w:szCs w:val="21"/>
        </w:rPr>
        <w:t xml:space="preserve"> — KAI Partners’ deep understanding of California’s welfare systems and Speridian’s modernization experience in human services technology.</w:t>
      </w:r>
    </w:p>
    <w:p w14:paraId="676FC133" w14:textId="77777777" w:rsidR="00DE79C5" w:rsidRPr="00D0753F" w:rsidRDefault="00DE79C5" w:rsidP="00DE79C5">
      <w:pPr>
        <w:pStyle w:val="NormalWeb"/>
        <w:numPr>
          <w:ilvl w:val="0"/>
          <w:numId w:val="28"/>
        </w:numPr>
        <w:spacing w:before="100" w:beforeAutospacing="1" w:after="100" w:afterAutospacing="1"/>
        <w:rPr>
          <w:rFonts w:ascii="Century Gothic" w:eastAsia="IBM Plex Sans" w:hAnsi="Century Gothic" w:cs="Arial"/>
          <w:color w:val="0D0D0D" w:themeColor="text1" w:themeTint="F2"/>
          <w:sz w:val="22"/>
          <w:szCs w:val="21"/>
        </w:rPr>
      </w:pPr>
      <w:r w:rsidRPr="00D0753F">
        <w:rPr>
          <w:rFonts w:ascii="Century Gothic" w:eastAsia="IBM Plex Sans" w:hAnsi="Century Gothic" w:cs="Arial"/>
          <w:b/>
          <w:bCs/>
          <w:color w:val="0D0D0D" w:themeColor="text1" w:themeTint="F2"/>
          <w:sz w:val="22"/>
          <w:szCs w:val="21"/>
        </w:rPr>
        <w:t>Unified delivery</w:t>
      </w:r>
      <w:r w:rsidRPr="00D0753F">
        <w:rPr>
          <w:rFonts w:ascii="Century Gothic" w:eastAsia="IBM Plex Sans" w:hAnsi="Century Gothic" w:cs="Arial"/>
          <w:color w:val="0D0D0D" w:themeColor="text1" w:themeTint="F2"/>
          <w:sz w:val="22"/>
          <w:szCs w:val="21"/>
        </w:rPr>
        <w:t xml:space="preserve"> — A single, cohesive QA team operating under IBM’s leadership but enriched by partners’ local insights and specialized capabilities.</w:t>
      </w:r>
    </w:p>
    <w:p w14:paraId="4553AA5A" w14:textId="382C455D" w:rsidR="00DE79C5" w:rsidRDefault="006D625A" w:rsidP="00DE79C5">
      <w:pPr>
        <w:pStyle w:val="NormalWeb"/>
        <w:rPr>
          <w:rFonts w:ascii="Century Gothic" w:eastAsia="IBM Plex Sans" w:hAnsi="Century Gothic" w:cs="Arial"/>
          <w:color w:val="0D0D0D" w:themeColor="text1" w:themeTint="F2"/>
          <w:sz w:val="22"/>
          <w:szCs w:val="21"/>
        </w:rPr>
      </w:pPr>
      <w:r>
        <w:rPr>
          <w:rFonts w:ascii="Century Gothic" w:eastAsia="IBM Plex Sans" w:hAnsi="Century Gothic" w:cs="Arial"/>
          <w:noProof/>
          <w:color w:val="0D0D0D" w:themeColor="text1" w:themeTint="F2"/>
          <w:sz w:val="22"/>
          <w:szCs w:val="21"/>
        </w:rPr>
        <w:lastRenderedPageBreak/>
        <mc:AlternateContent>
          <mc:Choice Requires="wps">
            <w:drawing>
              <wp:anchor distT="0" distB="0" distL="114300" distR="114300" simplePos="0" relativeHeight="251658251" behindDoc="0" locked="0" layoutInCell="1" allowOverlap="1" wp14:anchorId="56A82C2E" wp14:editId="29BA7361">
                <wp:simplePos x="0" y="0"/>
                <wp:positionH relativeFrom="column">
                  <wp:posOffset>0</wp:posOffset>
                </wp:positionH>
                <wp:positionV relativeFrom="paragraph">
                  <wp:posOffset>746760</wp:posOffset>
                </wp:positionV>
                <wp:extent cx="5935345" cy="1081405"/>
                <wp:effectExtent l="12700" t="12700" r="8255" b="10795"/>
                <wp:wrapTopAndBottom/>
                <wp:docPr id="1929443073" name="Text Box 29"/>
                <wp:cNvGraphicFramePr/>
                <a:graphic xmlns:a="http://schemas.openxmlformats.org/drawingml/2006/main">
                  <a:graphicData uri="http://schemas.microsoft.com/office/word/2010/wordprocessingShape">
                    <wps:wsp>
                      <wps:cNvSpPr txBox="1"/>
                      <wps:spPr>
                        <a:xfrm>
                          <a:off x="0" y="0"/>
                          <a:ext cx="5935345" cy="1081405"/>
                        </a:xfrm>
                        <a:prstGeom prst="rect">
                          <a:avLst/>
                        </a:prstGeom>
                        <a:solidFill>
                          <a:schemeClr val="bg1"/>
                        </a:solidFill>
                        <a:ln w="28575">
                          <a:solidFill>
                            <a:srgbClr val="006699"/>
                          </a:solidFill>
                        </a:ln>
                      </wps:spPr>
                      <wps:txbx>
                        <w:txbxContent>
                          <w:p w14:paraId="447D2F9C" w14:textId="77777777" w:rsidR="006B726B" w:rsidRPr="00CB6778" w:rsidRDefault="006B726B" w:rsidP="006B726B">
                            <w:pPr>
                              <w:pStyle w:val="CS-IBMResponseText"/>
                              <w:jc w:val="center"/>
                              <w:rPr>
                                <w:color w:val="000000" w:themeColor="text1"/>
                              </w:rPr>
                            </w:pPr>
                            <w:r w:rsidRPr="00CB6778">
                              <w:rPr>
                                <w:color w:val="000000" w:themeColor="text1"/>
                              </w:rPr>
                              <w:t xml:space="preserve">IBM’s partnership model fuses </w:t>
                            </w:r>
                            <w:r w:rsidRPr="00CB6778">
                              <w:rPr>
                                <w:rStyle w:val="Strong"/>
                                <w:color w:val="000000" w:themeColor="text1"/>
                              </w:rPr>
                              <w:t>global QA excellence</w:t>
                            </w:r>
                            <w:r w:rsidRPr="00CB6778">
                              <w:rPr>
                                <w:color w:val="000000" w:themeColor="text1"/>
                              </w:rPr>
                              <w:t xml:space="preserve"> with </w:t>
                            </w:r>
                            <w:r w:rsidRPr="00CB6778">
                              <w:rPr>
                                <w:rStyle w:val="Strong"/>
                                <w:color w:val="000000" w:themeColor="text1"/>
                              </w:rPr>
                              <w:t>California-specific HHS expertise</w:t>
                            </w:r>
                            <w:r w:rsidRPr="00CB6778">
                              <w:rPr>
                                <w:color w:val="000000" w:themeColor="text1"/>
                              </w:rPr>
                              <w:t xml:space="preserve">, delivering a team that is both </w:t>
                            </w:r>
                            <w:r w:rsidRPr="00CB6778">
                              <w:rPr>
                                <w:rStyle w:val="Strong"/>
                                <w:color w:val="000000" w:themeColor="text1"/>
                              </w:rPr>
                              <w:t>technically world-class</w:t>
                            </w:r>
                            <w:r w:rsidRPr="00CB6778">
                              <w:rPr>
                                <w:color w:val="000000" w:themeColor="text1"/>
                              </w:rPr>
                              <w:t xml:space="preserve"> and </w:t>
                            </w:r>
                            <w:r w:rsidRPr="00CB6778">
                              <w:rPr>
                                <w:rStyle w:val="Strong"/>
                                <w:color w:val="000000" w:themeColor="text1"/>
                              </w:rPr>
                              <w:t>locally grounded</w:t>
                            </w:r>
                            <w:r w:rsidRPr="00CB6778">
                              <w:rPr>
                                <w:color w:val="000000" w:themeColor="text1"/>
                              </w:rPr>
                              <w:t>—fully aligned with the Consortium’s vision of modernization, collaboration, and measurable quality improvement.</w:t>
                            </w:r>
                          </w:p>
                          <w:p w14:paraId="47C45E7C" w14:textId="77777777" w:rsidR="006B726B" w:rsidRPr="00CB6778" w:rsidRDefault="006B726B" w:rsidP="006B726B">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82C2E" id="_x0000_s1052" type="#_x0000_t202" style="position:absolute;margin-left:0;margin-top:58.8pt;width:467.35pt;height:85.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" fillcolor="white [3212]" strokecolor="#069" strokeweight="2.25pt">
                <v:textbox inset="14.4pt,7.2pt,14.4pt,7.2pt">
                  <w:txbxContent>
                    <w:p w14:paraId="447D2F9C" w14:textId="77777777" w:rsidR="006B726B" w:rsidRPr="00CB6778" w:rsidRDefault="006B726B" w:rsidP="006B726B">
                      <w:pPr>
                        <w:pStyle w:val="CS-IBMResponseText"/>
                        <w:jc w:val="center"/>
                        <w:rPr>
                          <w:color w:val="000000" w:themeColor="text1"/>
                        </w:rPr>
                      </w:pPr>
                      <w:r w:rsidRPr="00CB6778">
                        <w:rPr>
                          <w:color w:val="000000" w:themeColor="text1"/>
                        </w:rPr>
                        <w:t xml:space="preserve">IBM’s partnership model fuses </w:t>
                      </w:r>
                      <w:r w:rsidRPr="00CB6778">
                        <w:rPr>
                          <w:rStyle w:val="Strong"/>
                          <w:color w:val="000000" w:themeColor="text1"/>
                        </w:rPr>
                        <w:t>global QA excellence</w:t>
                      </w:r>
                      <w:r w:rsidRPr="00CB6778">
                        <w:rPr>
                          <w:color w:val="000000" w:themeColor="text1"/>
                        </w:rPr>
                        <w:t xml:space="preserve"> with </w:t>
                      </w:r>
                      <w:r w:rsidRPr="00CB6778">
                        <w:rPr>
                          <w:rStyle w:val="Strong"/>
                          <w:color w:val="000000" w:themeColor="text1"/>
                        </w:rPr>
                        <w:t>California-specific HHS expertise</w:t>
                      </w:r>
                      <w:r w:rsidRPr="00CB6778">
                        <w:rPr>
                          <w:color w:val="000000" w:themeColor="text1"/>
                        </w:rPr>
                        <w:t xml:space="preserve">, delivering a team that is both </w:t>
                      </w:r>
                      <w:r w:rsidRPr="00CB6778">
                        <w:rPr>
                          <w:rStyle w:val="Strong"/>
                          <w:color w:val="000000" w:themeColor="text1"/>
                        </w:rPr>
                        <w:t>technically world-class</w:t>
                      </w:r>
                      <w:r w:rsidRPr="00CB6778">
                        <w:rPr>
                          <w:color w:val="000000" w:themeColor="text1"/>
                        </w:rPr>
                        <w:t xml:space="preserve"> and </w:t>
                      </w:r>
                      <w:r w:rsidRPr="00CB6778">
                        <w:rPr>
                          <w:rStyle w:val="Strong"/>
                          <w:color w:val="000000" w:themeColor="text1"/>
                        </w:rPr>
                        <w:t>locally grounded</w:t>
                      </w:r>
                      <w:r w:rsidRPr="00CB6778">
                        <w:rPr>
                          <w:color w:val="000000" w:themeColor="text1"/>
                        </w:rPr>
                        <w:t>—fully aligned with the Consortium’s vision of modernization, collaboration, and measurable quality improvement.</w:t>
                      </w:r>
                      <w:r w:rsidRPr="00CB6778">
                        <w:rPr>
                          <w:rStyle w:val="CommentReference"/>
                          <w:color w:val="000000" w:themeColor="text1"/>
                          <w:sz w:val="22"/>
                          <w:szCs w:val="21"/>
                        </w:rPr>
                        <w:t/>
                      </w:r>
                    </w:p>
                    <w:p w14:paraId="47C45E7C" w14:textId="77777777" w:rsidR="006B726B" w:rsidRPr="00CB6778" w:rsidRDefault="006B726B" w:rsidP="006B726B">
                      <w:pPr>
                        <w:jc w:val="center"/>
                      </w:pPr>
                    </w:p>
                  </w:txbxContent>
                </v:textbox>
                <w10:wrap type="topAndBottom"/>
              </v:shape>
            </w:pict>
          </mc:Fallback>
        </mc:AlternateContent>
      </w:r>
      <w:r w:rsidR="00DE79C5" w:rsidRPr="00D0753F">
        <w:rPr>
          <w:rFonts w:ascii="Century Gothic" w:eastAsia="IBM Plex Sans" w:hAnsi="Century Gothic" w:cs="Arial"/>
          <w:color w:val="0D0D0D" w:themeColor="text1" w:themeTint="F2"/>
          <w:sz w:val="22"/>
          <w:szCs w:val="21"/>
        </w:rPr>
        <w:t xml:space="preserve">Through this collaboration, IBM ensures that CalSAWS receives </w:t>
      </w:r>
      <w:r w:rsidR="00DE79C5" w:rsidRPr="00D0753F">
        <w:rPr>
          <w:rFonts w:ascii="Century Gothic" w:eastAsia="IBM Plex Sans" w:hAnsi="Century Gothic" w:cs="Arial"/>
          <w:b/>
          <w:bCs/>
          <w:color w:val="0D0D0D" w:themeColor="text1" w:themeTint="F2"/>
          <w:sz w:val="22"/>
          <w:szCs w:val="21"/>
        </w:rPr>
        <w:t>a seamlessly integrated QA function</w:t>
      </w:r>
      <w:r w:rsidR="00DE79C5" w:rsidRPr="00D0753F">
        <w:rPr>
          <w:rFonts w:ascii="Century Gothic" w:eastAsia="IBM Plex Sans" w:hAnsi="Century Gothic" w:cs="Arial"/>
          <w:color w:val="0D0D0D" w:themeColor="text1" w:themeTint="F2"/>
          <w:sz w:val="22"/>
          <w:szCs w:val="21"/>
        </w:rPr>
        <w:t>—one that not only verifies quality but continually enhances it through shared expertise, innovative tools, and a deep commitment to public service.</w:t>
      </w:r>
    </w:p>
    <w:p w14:paraId="406890B6" w14:textId="77777777" w:rsidR="00A254C4" w:rsidRPr="001446FC" w:rsidRDefault="00A254C4" w:rsidP="00A254C4">
      <w:pPr>
        <w:pStyle w:val="CS-IBMResponseText"/>
      </w:pPr>
    </w:p>
    <w:p w14:paraId="0754E371" w14:textId="6D54D149" w:rsidR="00602BCB" w:rsidRPr="00801714" w:rsidRDefault="00602BCB" w:rsidP="005B0483">
      <w:pPr>
        <w:pStyle w:val="Heading4"/>
      </w:pPr>
      <w:r w:rsidRPr="00801714">
        <w:t>Hybrid Onsite + U.S.-Based Remote Delivery</w:t>
      </w:r>
      <w:r w:rsidR="00C15E3E">
        <w:t xml:space="preserve"> </w:t>
      </w:r>
    </w:p>
    <w:p w14:paraId="270B4C40" w14:textId="77777777" w:rsidR="00602BCB" w:rsidRPr="003D3BAE" w:rsidRDefault="00602BCB" w:rsidP="00D526CA">
      <w:pPr>
        <w:pStyle w:val="CS-IBMResponseText"/>
        <w:rPr>
          <w:rFonts w:eastAsia="IBM Plex Sans"/>
          <w:u w:val="single"/>
        </w:rPr>
      </w:pPr>
      <w:r w:rsidRPr="003D3BAE">
        <w:rPr>
          <w:rFonts w:eastAsia="IBM Plex Sans"/>
          <w:u w:val="single"/>
        </w:rPr>
        <w:t>Onsite Presence in Sacramento</w:t>
      </w:r>
    </w:p>
    <w:p w14:paraId="7778ECB8" w14:textId="01AEE61C" w:rsidR="00602BCB" w:rsidRPr="00DA0139" w:rsidRDefault="00602BCB" w:rsidP="00D526CA">
      <w:pPr>
        <w:pStyle w:val="CS-IBMResponseText"/>
        <w:rPr>
          <w:rFonts w:eastAsia="IBM Plex Sans"/>
        </w:rPr>
      </w:pPr>
      <w:r w:rsidRPr="00DA0139">
        <w:rPr>
          <w:rFonts w:eastAsia="IBM Plex Sans"/>
        </w:rPr>
        <w:t xml:space="preserve">IBM’s staffing strategy for CalSAWS is built to meet the </w:t>
      </w:r>
      <w:r w:rsidRPr="70E80950">
        <w:rPr>
          <w:rFonts w:eastAsia="IBM Plex Sans"/>
        </w:rPr>
        <w:t>Consortium’</w:t>
      </w:r>
      <w:r w:rsidR="0C13F739" w:rsidRPr="70E80950">
        <w:rPr>
          <w:rFonts w:eastAsia="IBM Plex Sans"/>
        </w:rPr>
        <w:t>, the CalSAWS JPA and P</w:t>
      </w:r>
      <w:r w:rsidR="0C13F739" w:rsidRPr="70E80950">
        <w:rPr>
          <w:rFonts w:eastAsia="IBM Plex Sans"/>
          <w:color w:val="0D0D0D" w:themeColor="text2" w:themeTint="F2"/>
          <w:szCs w:val="22"/>
        </w:rPr>
        <w:t>SC</w:t>
      </w:r>
      <w:r w:rsidRPr="70E80950">
        <w:rPr>
          <w:rFonts w:eastAsia="IBM Plex Sans"/>
          <w:color w:val="000000" w:themeColor="text2"/>
          <w:szCs w:val="22"/>
        </w:rPr>
        <w:t xml:space="preserve"> </w:t>
      </w:r>
      <w:r w:rsidRPr="00DA0139">
        <w:rPr>
          <w:rFonts w:eastAsia="IBM Plex Sans"/>
        </w:rPr>
        <w:t>expectations for key staff presence during both transition and delivery phases. To support this requirement, we propose a hybrid resource model that combines onsite and remote personnel, all aligned to CalSAWS’ defined business hours of operation. This ensures continuity, responsiveness, and seamless collaboration across all phases of the engagement.</w:t>
      </w:r>
    </w:p>
    <w:p w14:paraId="5D876078" w14:textId="7969D9C0" w:rsidR="00BA7800" w:rsidRDefault="00602BCB" w:rsidP="00BA7800">
      <w:pPr>
        <w:pStyle w:val="CS-IBMResponseText"/>
        <w:rPr>
          <w:rFonts w:eastAsia="IBM Plex Sans"/>
        </w:rPr>
      </w:pPr>
      <w:r w:rsidRPr="00DA0139">
        <w:rPr>
          <w:rFonts w:eastAsia="IBM Plex Sans"/>
        </w:rPr>
        <w:t>At the heart of our onsite model is a team of professionals based in Sacramento, including:</w:t>
      </w:r>
    </w:p>
    <w:p w14:paraId="6AA0370E" w14:textId="55E6987D" w:rsidR="001B5CD9" w:rsidRDefault="001B5CD9" w:rsidP="001B5CD9">
      <w:pPr>
        <w:pStyle w:val="Caption"/>
        <w:keepNext/>
        <w:jc w:val="center"/>
      </w:pPr>
      <w:bookmarkStart w:id="16" w:name="_Toc213064569"/>
      <w:r>
        <w:t xml:space="preserve">Table 3.1.1. </w:t>
      </w:r>
      <w:r>
        <w:fldChar w:fldCharType="begin"/>
      </w:r>
      <w:r>
        <w:instrText xml:space="preserve"> SEQ Table_3.1.1. \* ARABIC </w:instrText>
      </w:r>
      <w:r>
        <w:fldChar w:fldCharType="separate"/>
      </w:r>
      <w:r w:rsidR="00C435D1">
        <w:rPr>
          <w:noProof/>
        </w:rPr>
        <w:t>2</w:t>
      </w:r>
      <w:r>
        <w:fldChar w:fldCharType="end"/>
      </w:r>
      <w:r>
        <w:t xml:space="preserve"> Key Staff Roles and Responsibilities</w:t>
      </w:r>
      <w:bookmarkEnd w:id="16"/>
    </w:p>
    <w:tbl>
      <w:tblPr>
        <w:tblStyle w:val="ListTable3-Accent2"/>
        <w:tblW w:w="0" w:type="auto"/>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108" w:type="dxa"/>
          <w:right w:w="108" w:type="dxa"/>
        </w:tblCellMar>
        <w:tblLook w:val="04A0" w:firstRow="1" w:lastRow="0" w:firstColumn="1" w:lastColumn="0" w:noHBand="0" w:noVBand="1"/>
      </w:tblPr>
      <w:tblGrid>
        <w:gridCol w:w="2695"/>
        <w:gridCol w:w="6655"/>
      </w:tblGrid>
      <w:tr w:rsidR="00827387" w:rsidRPr="00827387" w14:paraId="749D2F19" w14:textId="77777777" w:rsidTr="00553D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shd w:val="clear" w:color="auto" w:fill="0070C0"/>
          </w:tcPr>
          <w:p w14:paraId="12C5F583" w14:textId="36EFBF56" w:rsidR="00827387" w:rsidRPr="008C49F2" w:rsidRDefault="00827387" w:rsidP="00BA7800">
            <w:pPr>
              <w:pStyle w:val="CS-IBMBullet1"/>
              <w:numPr>
                <w:ilvl w:val="0"/>
                <w:numId w:val="0"/>
              </w:numPr>
              <w:rPr>
                <w:rFonts w:eastAsia="IBM Plex Sans"/>
                <w:b w:val="0"/>
                <w:color w:val="FFFFFF" w:themeColor="background1"/>
                <w:sz w:val="20"/>
                <w:szCs w:val="18"/>
              </w:rPr>
            </w:pPr>
            <w:r w:rsidRPr="008C49F2">
              <w:rPr>
                <w:rFonts w:eastAsia="IBM Plex Sans"/>
                <w:color w:val="FFFFFF" w:themeColor="background1"/>
                <w:sz w:val="20"/>
                <w:szCs w:val="18"/>
              </w:rPr>
              <w:t>Roles</w:t>
            </w:r>
            <w:r w:rsidR="00D3095B" w:rsidRPr="008C49F2">
              <w:rPr>
                <w:rFonts w:eastAsia="IBM Plex Sans"/>
                <w:b w:val="0"/>
                <w:color w:val="FFFFFF" w:themeColor="background1"/>
                <w:sz w:val="20"/>
                <w:szCs w:val="18"/>
              </w:rPr>
              <w:t xml:space="preserve"> (</w:t>
            </w:r>
            <w:r w:rsidR="00D3095B" w:rsidRPr="008C49F2">
              <w:rPr>
                <w:rFonts w:eastAsia="IBM Plex Sans"/>
                <w:i/>
                <w:color w:val="FFFFFF" w:themeColor="background1"/>
              </w:rPr>
              <w:t>*Key Staff)</w:t>
            </w:r>
          </w:p>
        </w:tc>
        <w:tc>
          <w:tcPr>
            <w:tcW w:w="6655" w:type="dxa"/>
            <w:tcBorders>
              <w:tl2br w:val="none" w:sz="0" w:space="0" w:color="auto"/>
            </w:tcBorders>
            <w:shd w:val="clear" w:color="auto" w:fill="0070C0"/>
          </w:tcPr>
          <w:p w14:paraId="4F686FFD" w14:textId="5796938D" w:rsidR="00827387" w:rsidRPr="008C49F2" w:rsidRDefault="00827387" w:rsidP="00BA7800">
            <w:pPr>
              <w:pStyle w:val="CS-IBMBullet1"/>
              <w:numPr>
                <w:ilvl w:val="0"/>
                <w:numId w:val="0"/>
              </w:numPr>
              <w:cnfStyle w:val="100000000000" w:firstRow="1" w:lastRow="0" w:firstColumn="0" w:lastColumn="0" w:oddVBand="0" w:evenVBand="0" w:oddHBand="0" w:evenHBand="0" w:firstRowFirstColumn="0" w:firstRowLastColumn="0" w:lastRowFirstColumn="0" w:lastRowLastColumn="0"/>
              <w:rPr>
                <w:rFonts w:eastAsia="IBM Plex Sans"/>
                <w:b w:val="0"/>
                <w:color w:val="FFFFFF" w:themeColor="background1"/>
                <w:sz w:val="20"/>
                <w:szCs w:val="18"/>
              </w:rPr>
            </w:pPr>
            <w:r w:rsidRPr="008C49F2">
              <w:rPr>
                <w:rFonts w:eastAsia="IBM Plex Sans"/>
                <w:color w:val="FFFFFF" w:themeColor="background1"/>
                <w:sz w:val="20"/>
                <w:szCs w:val="18"/>
              </w:rPr>
              <w:t>Description</w:t>
            </w:r>
          </w:p>
        </w:tc>
      </w:tr>
      <w:tr w:rsidR="00BA7800" w:rsidRPr="00827387" w14:paraId="084503D5"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602691E0" w14:textId="475BA399"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t>Quality Assurance (QA) Project Manager</w:t>
            </w:r>
            <w:r w:rsidR="007B4E9D">
              <w:rPr>
                <w:rFonts w:eastAsia="IBM Plex Sans"/>
                <w:sz w:val="20"/>
                <w:szCs w:val="18"/>
              </w:rPr>
              <w:t>*</w:t>
            </w:r>
          </w:p>
        </w:tc>
        <w:tc>
          <w:tcPr>
            <w:tcW w:w="6655" w:type="dxa"/>
            <w:tcBorders>
              <w:tl2br w:val="none" w:sz="0" w:space="0" w:color="auto"/>
            </w:tcBorders>
          </w:tcPr>
          <w:p w14:paraId="6A111D1F" w14:textId="3CABCA71" w:rsidR="00BC1548" w:rsidRPr="00BC1548" w:rsidRDefault="00BC1548" w:rsidP="00BC1548">
            <w:pPr>
              <w:spacing w:before="60"/>
              <w:cnfStyle w:val="000000000000" w:firstRow="0" w:lastRow="0" w:firstColumn="0" w:lastColumn="0" w:oddVBand="0" w:evenVBand="0" w:oddHBand="0" w:evenHBand="0" w:firstRowFirstColumn="0" w:firstRowLastColumn="0" w:lastRowFirstColumn="0" w:lastRowLastColumn="0"/>
              <w:rPr>
                <w:rFonts w:eastAsia="IBM Plex Sans" w:cs="Arial"/>
                <w:sz w:val="20"/>
                <w:szCs w:val="18"/>
              </w:rPr>
            </w:pPr>
            <w:r>
              <w:rPr>
                <w:rFonts w:eastAsia="IBM Plex Sans" w:cs="Arial"/>
                <w:sz w:val="20"/>
                <w:szCs w:val="18"/>
              </w:rPr>
              <w:t xml:space="preserve">IBM’s proposed </w:t>
            </w:r>
            <w:r w:rsidR="005D18C9">
              <w:rPr>
                <w:rFonts w:eastAsia="IBM Plex Sans" w:cs="Arial"/>
                <w:sz w:val="20"/>
                <w:szCs w:val="18"/>
              </w:rPr>
              <w:t xml:space="preserve">QA Project Manager, </w:t>
            </w:r>
            <w:r w:rsidRPr="00BC1548">
              <w:rPr>
                <w:rFonts w:eastAsia="IBM Plex Sans" w:cs="Arial"/>
                <w:sz w:val="20"/>
                <w:szCs w:val="18"/>
              </w:rPr>
              <w:t>Krishna</w:t>
            </w:r>
            <w:r w:rsidR="00F1379B">
              <w:rPr>
                <w:rFonts w:eastAsia="IBM Plex Sans" w:cs="Arial"/>
                <w:sz w:val="20"/>
                <w:szCs w:val="18"/>
              </w:rPr>
              <w:t xml:space="preserve"> Menon, </w:t>
            </w:r>
            <w:r w:rsidRPr="00BC1548">
              <w:rPr>
                <w:rFonts w:eastAsia="IBM Plex Sans" w:cs="Arial"/>
                <w:sz w:val="20"/>
                <w:szCs w:val="18"/>
              </w:rPr>
              <w:t>has successfully managed the DHCS Provider Portal Modernization Program under the CA-MMIS program, leading a team of 100+ technical professionals across eight SAFe Agile squads. He directed comprehensive project planning, scheduling, budgeting, resource allocation, and risk/issue management in a complex, multi-vendor environment—ensuring delivery on time, within budget, and in full compliance with DHCS and federal standards.</w:t>
            </w:r>
          </w:p>
          <w:p w14:paraId="2D971823" w14:textId="23414E93" w:rsidR="00BC1548" w:rsidRPr="00BC1548" w:rsidRDefault="00BC1548" w:rsidP="00BC1548">
            <w:pPr>
              <w:spacing w:before="60"/>
              <w:cnfStyle w:val="000000000000" w:firstRow="0" w:lastRow="0" w:firstColumn="0" w:lastColumn="0" w:oddVBand="0" w:evenVBand="0" w:oddHBand="0" w:evenHBand="0" w:firstRowFirstColumn="0" w:firstRowLastColumn="0" w:lastRowFirstColumn="0" w:lastRowLastColumn="0"/>
              <w:rPr>
                <w:rFonts w:eastAsia="IBM Plex Sans" w:cs="Arial"/>
                <w:sz w:val="20"/>
                <w:szCs w:val="18"/>
              </w:rPr>
            </w:pPr>
            <w:r w:rsidRPr="00BC1548">
              <w:rPr>
                <w:rFonts w:eastAsia="IBM Plex Sans" w:cs="Arial"/>
                <w:sz w:val="20"/>
                <w:szCs w:val="18"/>
              </w:rPr>
              <w:t>He designed and maintained detailed project plans, work breakdown structures (WBS), and schedules aligned with SAFe PI planning and Task Order Authorizations (TOAs). Krishna managed project budgets, forecasts, and cost controls, optimizing financial performance while overseeing resource assignment, performance tracking, and cross-team coordination.</w:t>
            </w:r>
          </w:p>
          <w:p w14:paraId="42B72CF8" w14:textId="1885C372" w:rsidR="00BA7800" w:rsidRPr="00827387" w:rsidRDefault="00BC1548"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BC1548">
              <w:rPr>
                <w:rFonts w:eastAsia="IBM Plex Sans"/>
                <w:sz w:val="20"/>
                <w:szCs w:val="18"/>
              </w:rPr>
              <w:t xml:space="preserve"> </w:t>
            </w:r>
            <w:r w:rsidR="00AB0702" w:rsidRPr="003A5AA1">
              <w:rPr>
                <w:rFonts w:eastAsia="IBM Plex Sans"/>
                <w:sz w:val="20"/>
                <w:szCs w:val="18"/>
              </w:rPr>
              <w:t xml:space="preserve">Krishna integrated robust quality assurance practices into all delivery phases. He established QA checkpoints, defined acceptance criteria, and ensured adherence to HIPAA, NIST, and industry best practices. He directed automated and manual testing cycles, including unit, integration, regression, performance, and security testing, to validate system functionality and reliability. </w:t>
            </w:r>
            <w:r w:rsidRPr="00BC1548">
              <w:rPr>
                <w:rFonts w:eastAsia="IBM Plex Sans"/>
                <w:sz w:val="20"/>
                <w:szCs w:val="18"/>
              </w:rPr>
              <w:t xml:space="preserve">Krishna provided strategic oversight of QA frameworks, mentored QA leads, and championed continuous improvement initiatives to </w:t>
            </w:r>
            <w:r w:rsidRPr="00BC1548">
              <w:rPr>
                <w:rFonts w:eastAsia="IBM Plex Sans"/>
                <w:sz w:val="20"/>
                <w:szCs w:val="18"/>
              </w:rPr>
              <w:lastRenderedPageBreak/>
              <w:t xml:space="preserve">enhance testing effectiveness and product quality. </w:t>
            </w:r>
            <w:r w:rsidR="00AB0702" w:rsidRPr="003A5AA1">
              <w:rPr>
                <w:rFonts w:eastAsia="IBM Plex Sans"/>
                <w:sz w:val="20"/>
                <w:szCs w:val="18"/>
              </w:rPr>
              <w:t>He coordinated defect tracking and resolution, monitored quality metrics, and enforced compliance across vendors and teams—ensuring the solution met or exceeded agreed performance, availability, and security targets.</w:t>
            </w:r>
          </w:p>
        </w:tc>
      </w:tr>
      <w:tr w:rsidR="00BA7800" w:rsidRPr="00827387" w14:paraId="38F63DD0"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5AB0BEC5" w14:textId="21A0071D"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lastRenderedPageBreak/>
              <w:t>QA Functional Manager</w:t>
            </w:r>
            <w:r w:rsidR="007B4E9D">
              <w:rPr>
                <w:rFonts w:eastAsia="IBM Plex Sans"/>
                <w:sz w:val="20"/>
                <w:szCs w:val="18"/>
              </w:rPr>
              <w:t>*</w:t>
            </w:r>
          </w:p>
        </w:tc>
        <w:tc>
          <w:tcPr>
            <w:tcW w:w="6655" w:type="dxa"/>
            <w:tcBorders>
              <w:tl2br w:val="none" w:sz="0" w:space="0" w:color="auto"/>
            </w:tcBorders>
          </w:tcPr>
          <w:p w14:paraId="499374D7" w14:textId="66B9EDFC" w:rsidR="00BA7800" w:rsidRPr="00827387" w:rsidRDefault="00BA7800"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827387">
              <w:rPr>
                <w:rFonts w:eastAsia="IBM Plex Sans"/>
                <w:sz w:val="20"/>
                <w:szCs w:val="18"/>
              </w:rPr>
              <w:t xml:space="preserve">Sourced from KAI Partners, </w:t>
            </w:r>
            <w:r w:rsidR="000D662A">
              <w:rPr>
                <w:rFonts w:eastAsia="IBM Plex Sans"/>
                <w:sz w:val="20"/>
                <w:szCs w:val="18"/>
              </w:rPr>
              <w:t xml:space="preserve">the proposed key staff of QA Functional Manager, Cheryl Hoffman, </w:t>
            </w:r>
            <w:r w:rsidRPr="00827387">
              <w:rPr>
                <w:rFonts w:eastAsia="IBM Plex Sans"/>
                <w:sz w:val="20"/>
                <w:szCs w:val="18"/>
              </w:rPr>
              <w:t>bring</w:t>
            </w:r>
            <w:r w:rsidR="00B76365">
              <w:rPr>
                <w:rFonts w:eastAsia="IBM Plex Sans"/>
                <w:sz w:val="20"/>
                <w:szCs w:val="18"/>
              </w:rPr>
              <w:t>s</w:t>
            </w:r>
            <w:r w:rsidRPr="00827387">
              <w:rPr>
                <w:rFonts w:eastAsia="IBM Plex Sans"/>
                <w:sz w:val="20"/>
                <w:szCs w:val="18"/>
              </w:rPr>
              <w:t xml:space="preserve"> deep domain expertise and prior CalSAWS experience to lead functional alignment and testing strategy.</w:t>
            </w:r>
            <w:r w:rsidR="000D662A">
              <w:rPr>
                <w:rFonts w:eastAsia="IBM Plex Sans"/>
                <w:sz w:val="20"/>
                <w:szCs w:val="18"/>
              </w:rPr>
              <w:t xml:space="preserve"> She has over 30 years</w:t>
            </w:r>
            <w:r w:rsidR="000D662A" w:rsidRPr="0077685C">
              <w:rPr>
                <w:rFonts w:eastAsia="IBM Plex Sans"/>
                <w:sz w:val="20"/>
                <w:szCs w:val="18"/>
              </w:rPr>
              <w:t xml:space="preserve"> project management, business analysis, test management, </w:t>
            </w:r>
            <w:r w:rsidR="000D662A">
              <w:rPr>
                <w:rFonts w:eastAsia="IBM Plex Sans"/>
                <w:sz w:val="20"/>
                <w:szCs w:val="18"/>
              </w:rPr>
              <w:t>s</w:t>
            </w:r>
            <w:r w:rsidR="000D662A" w:rsidRPr="0077685C">
              <w:rPr>
                <w:rFonts w:eastAsia="IBM Plex Sans"/>
                <w:sz w:val="20"/>
                <w:szCs w:val="18"/>
              </w:rPr>
              <w:t>takeholder and vendor</w:t>
            </w:r>
            <w:r w:rsidR="000D662A">
              <w:rPr>
                <w:rFonts w:eastAsia="IBM Plex Sans"/>
                <w:sz w:val="20"/>
                <w:szCs w:val="18"/>
              </w:rPr>
              <w:t xml:space="preserve"> </w:t>
            </w:r>
            <w:r w:rsidR="000D662A" w:rsidRPr="0077685C">
              <w:rPr>
                <w:rFonts w:eastAsia="IBM Plex Sans"/>
                <w:sz w:val="20"/>
                <w:szCs w:val="18"/>
              </w:rPr>
              <w:t>coordination, among others. She previously served as the QA Test Manager for the</w:t>
            </w:r>
            <w:r w:rsidR="000D662A">
              <w:rPr>
                <w:rFonts w:eastAsia="IBM Plex Sans"/>
                <w:sz w:val="20"/>
                <w:szCs w:val="18"/>
              </w:rPr>
              <w:t xml:space="preserve"> </w:t>
            </w:r>
            <w:r w:rsidR="000D662A" w:rsidRPr="0077685C">
              <w:rPr>
                <w:rFonts w:eastAsia="IBM Plex Sans"/>
                <w:sz w:val="20"/>
                <w:szCs w:val="18"/>
              </w:rPr>
              <w:t>CalSAWS project from 2019-21</w:t>
            </w:r>
            <w:r w:rsidR="000D662A">
              <w:rPr>
                <w:rFonts w:eastAsia="IBM Plex Sans"/>
                <w:sz w:val="20"/>
                <w:szCs w:val="18"/>
              </w:rPr>
              <w:t>.</w:t>
            </w:r>
          </w:p>
        </w:tc>
      </w:tr>
      <w:tr w:rsidR="00BA7800" w:rsidRPr="00827387" w14:paraId="75E43E9D"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59AE2901" w14:textId="133DB7E8"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t>QA Test Manager</w:t>
            </w:r>
            <w:r w:rsidR="007B4E9D">
              <w:rPr>
                <w:rFonts w:eastAsia="IBM Plex Sans"/>
                <w:sz w:val="20"/>
                <w:szCs w:val="18"/>
              </w:rPr>
              <w:t>*</w:t>
            </w:r>
          </w:p>
        </w:tc>
        <w:tc>
          <w:tcPr>
            <w:tcW w:w="6655" w:type="dxa"/>
            <w:tcBorders>
              <w:tl2br w:val="none" w:sz="0" w:space="0" w:color="auto"/>
            </w:tcBorders>
          </w:tcPr>
          <w:p w14:paraId="7948AC28" w14:textId="0AD6D27E" w:rsidR="007F52AC" w:rsidRPr="005459F4" w:rsidRDefault="00BA7800" w:rsidP="007F52AC">
            <w:pPr>
              <w:spacing w:before="60"/>
              <w:cnfStyle w:val="000000000000" w:firstRow="0" w:lastRow="0" w:firstColumn="0" w:lastColumn="0" w:oddVBand="0" w:evenVBand="0" w:oddHBand="0" w:evenHBand="0" w:firstRowFirstColumn="0" w:firstRowLastColumn="0" w:lastRowFirstColumn="0" w:lastRowLastColumn="0"/>
              <w:rPr>
                <w:rFonts w:eastAsia="IBM Plex Sans" w:cs="Arial"/>
                <w:sz w:val="20"/>
                <w:szCs w:val="18"/>
              </w:rPr>
            </w:pPr>
            <w:r w:rsidRPr="00827387">
              <w:rPr>
                <w:rFonts w:eastAsia="IBM Plex Sans"/>
                <w:sz w:val="20"/>
                <w:szCs w:val="18"/>
              </w:rPr>
              <w:t xml:space="preserve">Sourced from Speridian Technologies, </w:t>
            </w:r>
            <w:r w:rsidR="00B10EAF">
              <w:rPr>
                <w:rFonts w:eastAsia="IBM Plex Sans"/>
                <w:sz w:val="20"/>
                <w:szCs w:val="18"/>
              </w:rPr>
              <w:t>Carrie Harvey is proposed as QA Test Manager.  C</w:t>
            </w:r>
            <w:r w:rsidRPr="00827387">
              <w:rPr>
                <w:rFonts w:eastAsia="IBM Plex Sans"/>
                <w:sz w:val="20"/>
                <w:szCs w:val="18"/>
              </w:rPr>
              <w:t>ontributing proven delivery excellence and hands-on experience in large-scale public sector QA programs</w:t>
            </w:r>
            <w:r w:rsidR="007F52AC">
              <w:rPr>
                <w:rFonts w:eastAsia="IBM Plex Sans" w:cs="Arial"/>
                <w:sz w:val="20"/>
                <w:szCs w:val="18"/>
              </w:rPr>
              <w:t xml:space="preserve">, Carrie </w:t>
            </w:r>
            <w:r w:rsidR="00A4728F">
              <w:rPr>
                <w:rFonts w:eastAsia="IBM Plex Sans" w:cs="Arial"/>
                <w:sz w:val="20"/>
                <w:szCs w:val="18"/>
              </w:rPr>
              <w:t>brings</w:t>
            </w:r>
            <w:r w:rsidR="007F52AC" w:rsidRPr="005459F4">
              <w:rPr>
                <w:rFonts w:eastAsia="IBM Plex Sans" w:cs="Arial"/>
                <w:sz w:val="20"/>
                <w:szCs w:val="18"/>
              </w:rPr>
              <w:t xml:space="preserve"> over 40 years</w:t>
            </w:r>
            <w:r w:rsidR="00A4728F">
              <w:rPr>
                <w:rFonts w:eastAsia="IBM Plex Sans" w:cs="Arial"/>
                <w:sz w:val="20"/>
                <w:szCs w:val="18"/>
              </w:rPr>
              <w:t>’</w:t>
            </w:r>
            <w:r w:rsidR="007F52AC" w:rsidRPr="005459F4">
              <w:rPr>
                <w:rFonts w:eastAsia="IBM Plex Sans" w:cs="Arial"/>
                <w:sz w:val="20"/>
                <w:szCs w:val="18"/>
              </w:rPr>
              <w:t xml:space="preserve"> experience in health and human services</w:t>
            </w:r>
            <w:r w:rsidR="00A4728F">
              <w:rPr>
                <w:rFonts w:eastAsia="IBM Plex Sans" w:cs="Arial"/>
                <w:sz w:val="20"/>
                <w:szCs w:val="18"/>
              </w:rPr>
              <w:t>, with more than</w:t>
            </w:r>
            <w:r w:rsidR="007F52AC" w:rsidRPr="005459F4">
              <w:rPr>
                <w:rFonts w:eastAsia="IBM Plex Sans" w:cs="Arial"/>
                <w:sz w:val="20"/>
                <w:szCs w:val="18"/>
              </w:rPr>
              <w:t xml:space="preserve"> 25 years dedicated to Quality Assurance Management. Ms. Harvey has</w:t>
            </w:r>
            <w:r w:rsidR="007F52AC">
              <w:rPr>
                <w:rFonts w:eastAsia="IBM Plex Sans" w:cs="Arial"/>
                <w:sz w:val="20"/>
                <w:szCs w:val="18"/>
              </w:rPr>
              <w:t xml:space="preserve"> </w:t>
            </w:r>
            <w:r w:rsidR="007F52AC" w:rsidRPr="005459F4">
              <w:rPr>
                <w:rFonts w:eastAsia="IBM Plex Sans" w:cs="Arial"/>
                <w:sz w:val="20"/>
                <w:szCs w:val="18"/>
              </w:rPr>
              <w:t>served in the CalSAWS ecosystem as a Quality Assurance Manager at CalWin. During</w:t>
            </w:r>
            <w:r w:rsidR="007F52AC">
              <w:rPr>
                <w:rFonts w:eastAsia="IBM Plex Sans" w:cs="Arial"/>
                <w:sz w:val="20"/>
                <w:szCs w:val="18"/>
              </w:rPr>
              <w:t xml:space="preserve"> </w:t>
            </w:r>
            <w:r w:rsidR="007F52AC" w:rsidRPr="005459F4">
              <w:rPr>
                <w:rFonts w:eastAsia="IBM Plex Sans" w:cs="Arial"/>
                <w:sz w:val="20"/>
                <w:szCs w:val="18"/>
              </w:rPr>
              <w:t>her tenure with CalWIN, Ms. Harvey led a 40+ member QA team and oversaw Quality</w:t>
            </w:r>
          </w:p>
          <w:p w14:paraId="74016DFE" w14:textId="77777777" w:rsidR="007F52AC" w:rsidRPr="005459F4" w:rsidRDefault="007F52AC" w:rsidP="007F52AC">
            <w:pPr>
              <w:spacing w:before="60"/>
              <w:cnfStyle w:val="000000000000" w:firstRow="0" w:lastRow="0" w:firstColumn="0" w:lastColumn="0" w:oddVBand="0" w:evenVBand="0" w:oddHBand="0" w:evenHBand="0" w:firstRowFirstColumn="0" w:firstRowLastColumn="0" w:lastRowFirstColumn="0" w:lastRowLastColumn="0"/>
              <w:rPr>
                <w:rFonts w:eastAsia="IBM Plex Sans" w:cs="Arial"/>
                <w:sz w:val="20"/>
                <w:szCs w:val="18"/>
              </w:rPr>
            </w:pPr>
            <w:r w:rsidRPr="005459F4">
              <w:rPr>
                <w:rFonts w:eastAsia="IBM Plex Sans" w:cs="Arial"/>
                <w:sz w:val="20"/>
                <w:szCs w:val="18"/>
              </w:rPr>
              <w:t>Management System (QMS) compliance for ~350 staff across development, project</w:t>
            </w:r>
            <w:r>
              <w:rPr>
                <w:rFonts w:eastAsia="IBM Plex Sans" w:cs="Arial"/>
                <w:sz w:val="20"/>
                <w:szCs w:val="18"/>
              </w:rPr>
              <w:t xml:space="preserve"> </w:t>
            </w:r>
            <w:r w:rsidRPr="005459F4">
              <w:rPr>
                <w:rFonts w:eastAsia="IBM Plex Sans" w:cs="Arial"/>
                <w:sz w:val="20"/>
                <w:szCs w:val="18"/>
              </w:rPr>
              <w:t>management, operations, and applications delivery. She provided more than 10 years</w:t>
            </w:r>
          </w:p>
          <w:p w14:paraId="09680068" w14:textId="75E5A607" w:rsidR="00BA7800" w:rsidRPr="00827387" w:rsidRDefault="007F52AC"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5459F4">
              <w:rPr>
                <w:rFonts w:eastAsia="IBM Plex Sans"/>
                <w:sz w:val="20"/>
                <w:szCs w:val="18"/>
              </w:rPr>
              <w:t>of QA leadership, applying recognized test methodologies and IEEE in</w:t>
            </w:r>
            <w:r>
              <w:rPr>
                <w:rFonts w:eastAsia="IBM Plex Sans"/>
                <w:sz w:val="20"/>
                <w:szCs w:val="18"/>
              </w:rPr>
              <w:t>dustry standards</w:t>
            </w:r>
            <w:r w:rsidR="00BA7800" w:rsidRPr="00827387">
              <w:rPr>
                <w:rFonts w:eastAsia="IBM Plex Sans"/>
                <w:sz w:val="20"/>
                <w:szCs w:val="18"/>
              </w:rPr>
              <w:t>.</w:t>
            </w:r>
          </w:p>
        </w:tc>
      </w:tr>
      <w:tr w:rsidR="00BA7800" w:rsidRPr="00827387" w14:paraId="21EFBD19"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50430D03" w14:textId="72E4C83B"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t xml:space="preserve">QA Technical </w:t>
            </w:r>
            <w:r w:rsidR="00FB75E5">
              <w:rPr>
                <w:rFonts w:eastAsia="IBM Plex Sans"/>
                <w:sz w:val="20"/>
                <w:szCs w:val="18"/>
              </w:rPr>
              <w:t>M</w:t>
            </w:r>
            <w:r w:rsidRPr="00827387">
              <w:rPr>
                <w:rFonts w:eastAsia="IBM Plex Sans"/>
                <w:sz w:val="20"/>
                <w:szCs w:val="18"/>
              </w:rPr>
              <w:t>anager</w:t>
            </w:r>
            <w:r w:rsidR="007B4E9D">
              <w:rPr>
                <w:rFonts w:eastAsia="IBM Plex Sans"/>
                <w:sz w:val="20"/>
                <w:szCs w:val="18"/>
              </w:rPr>
              <w:t>*</w:t>
            </w:r>
          </w:p>
        </w:tc>
        <w:tc>
          <w:tcPr>
            <w:tcW w:w="6655" w:type="dxa"/>
            <w:tcBorders>
              <w:tl2br w:val="none" w:sz="0" w:space="0" w:color="auto"/>
            </w:tcBorders>
          </w:tcPr>
          <w:p w14:paraId="0247BD53" w14:textId="77777777" w:rsidR="00F9002B" w:rsidRPr="00F9002B" w:rsidRDefault="00F9002B" w:rsidP="00F9002B">
            <w:pPr>
              <w:spacing w:before="60"/>
              <w:cnfStyle w:val="000000000000" w:firstRow="0" w:lastRow="0" w:firstColumn="0" w:lastColumn="0" w:oddVBand="0" w:evenVBand="0" w:oddHBand="0" w:evenHBand="0" w:firstRowFirstColumn="0" w:firstRowLastColumn="0" w:lastRowFirstColumn="0" w:lastRowLastColumn="0"/>
              <w:rPr>
                <w:rFonts w:eastAsia="IBM Plex Sans" w:cs="Arial"/>
                <w:sz w:val="20"/>
                <w:szCs w:val="18"/>
              </w:rPr>
            </w:pPr>
            <w:r w:rsidRPr="00F9002B">
              <w:rPr>
                <w:rFonts w:eastAsia="IBM Plex Sans" w:cs="Arial"/>
                <w:sz w:val="20"/>
                <w:szCs w:val="18"/>
              </w:rPr>
              <w:t>IBM’s Sivaprakash Ramachandran, our proposed a QA Technical Manager, has served, architected and designed multiple critical systems within health and human services for more than a decade. As an IT technical advisor, Sivaprakash designed and architected multiple critical systems, specifically at CA-MMIS, where he works closely with testing teams, offering expert guidance, reviewing test cases and scripts, enabling smooth parallel, canary, and blue/green deployments during cloud migration — ensuring technical quality while mentoring team members through complex testing phases.</w:t>
            </w:r>
          </w:p>
          <w:p w14:paraId="37570F39" w14:textId="1536C2E4" w:rsidR="00BA7800" w:rsidRPr="007B4E9D" w:rsidRDefault="00F9002B"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highlight w:val="yellow"/>
              </w:rPr>
            </w:pPr>
            <w:r w:rsidRPr="00F9002B">
              <w:rPr>
                <w:rFonts w:eastAsia="IBM Plex Sans"/>
                <w:sz w:val="20"/>
                <w:szCs w:val="18"/>
              </w:rPr>
              <w:t xml:space="preserve">Through his leadership and oversight role at CA-MMIS, Sivaprakash has validated delivered code meets DHCS standards, conducted periodic evaluations to maintain compliance and provided the team with technical guidance to uphold system integrity across CA-MMIS.  </w:t>
            </w:r>
            <w:r w:rsidR="00FB75E5" w:rsidRPr="006A0B7F">
              <w:rPr>
                <w:rFonts w:eastAsia="IBM Plex Sans"/>
                <w:sz w:val="20"/>
                <w:szCs w:val="18"/>
              </w:rPr>
              <w:t xml:space="preserve">He </w:t>
            </w:r>
            <w:r w:rsidR="00FB75E5">
              <w:rPr>
                <w:rFonts w:eastAsia="IBM Plex Sans"/>
                <w:sz w:val="20"/>
                <w:szCs w:val="18"/>
              </w:rPr>
              <w:t xml:space="preserve">has </w:t>
            </w:r>
            <w:r w:rsidR="00FB75E5" w:rsidRPr="006A0B7F">
              <w:rPr>
                <w:rFonts w:eastAsia="IBM Plex Sans"/>
                <w:sz w:val="20"/>
                <w:szCs w:val="18"/>
              </w:rPr>
              <w:t xml:space="preserve">led UI/Access/Web Services accessibility </w:t>
            </w:r>
            <w:r w:rsidRPr="00F9002B">
              <w:rPr>
                <w:rFonts w:eastAsia="IBM Plex Sans"/>
                <w:sz w:val="20"/>
                <w:szCs w:val="18"/>
              </w:rPr>
              <w:t xml:space="preserve"> various technical standards </w:t>
            </w:r>
            <w:r w:rsidR="00FB75E5" w:rsidRPr="006A0B7F">
              <w:rPr>
                <w:rFonts w:eastAsia="IBM Plex Sans"/>
                <w:sz w:val="20"/>
                <w:szCs w:val="18"/>
              </w:rPr>
              <w:t xml:space="preserve">assessments for CA-MMIS web applications and performed Identity Management evaluations, documenting authentication flows </w:t>
            </w:r>
            <w:r w:rsidR="00FB75E5">
              <w:rPr>
                <w:rFonts w:eastAsia="IBM Plex Sans"/>
                <w:sz w:val="20"/>
                <w:szCs w:val="18"/>
              </w:rPr>
              <w:t>and</w:t>
            </w:r>
            <w:r w:rsidR="00FB75E5" w:rsidRPr="006A0B7F">
              <w:rPr>
                <w:rFonts w:eastAsia="IBM Plex Sans"/>
                <w:sz w:val="20"/>
                <w:szCs w:val="18"/>
              </w:rPr>
              <w:t xml:space="preserve"> ensuring compliance and security best practices were embedded in the technical design.</w:t>
            </w:r>
            <w:r w:rsidR="00FB75E5">
              <w:rPr>
                <w:rFonts w:eastAsia="IBM Plex Sans"/>
                <w:sz w:val="20"/>
                <w:szCs w:val="18"/>
              </w:rPr>
              <w:t xml:space="preserve"> As part of working with CA-MMIS security, </w:t>
            </w:r>
            <w:r w:rsidR="00FB75E5" w:rsidRPr="006A0B7F">
              <w:rPr>
                <w:rFonts w:eastAsia="IBM Plex Sans"/>
                <w:sz w:val="20"/>
                <w:szCs w:val="18"/>
              </w:rPr>
              <w:t>Sivaprakash review</w:t>
            </w:r>
            <w:r w:rsidR="00FB75E5">
              <w:rPr>
                <w:rFonts w:eastAsia="IBM Plex Sans"/>
                <w:sz w:val="20"/>
                <w:szCs w:val="18"/>
              </w:rPr>
              <w:t>ed the</w:t>
            </w:r>
            <w:r w:rsidR="00FB75E5" w:rsidRPr="006A0B7F">
              <w:rPr>
                <w:rFonts w:eastAsia="IBM Plex Sans"/>
                <w:sz w:val="20"/>
                <w:szCs w:val="18"/>
              </w:rPr>
              <w:t xml:space="preserve"> System Security Plans and Security Risk Assessments during non-mainframe application migrations, reinforcing secure architecture principles in team deliverables.</w:t>
            </w:r>
          </w:p>
        </w:tc>
      </w:tr>
      <w:tr w:rsidR="00BA7800" w:rsidRPr="00827387" w14:paraId="0C6B39C3"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05363530" w14:textId="00D9BEB2"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lastRenderedPageBreak/>
              <w:t>Project Management Office (PMO) Integration Roles</w:t>
            </w:r>
          </w:p>
        </w:tc>
        <w:tc>
          <w:tcPr>
            <w:tcW w:w="6655" w:type="dxa"/>
            <w:tcBorders>
              <w:tl2br w:val="none" w:sz="0" w:space="0" w:color="auto"/>
            </w:tcBorders>
          </w:tcPr>
          <w:p w14:paraId="0BA32265" w14:textId="2F6CB59A" w:rsidR="00BA7800" w:rsidRPr="00827387" w:rsidRDefault="00CF5255"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BF13C0">
              <w:rPr>
                <w:rFonts w:eastAsia="IBM Plex Sans"/>
                <w:sz w:val="20"/>
                <w:szCs w:val="18"/>
              </w:rPr>
              <w:t>IBM has personnel skilled</w:t>
            </w:r>
            <w:r w:rsidR="00496994" w:rsidRPr="00BF13C0">
              <w:rPr>
                <w:rFonts w:eastAsia="IBM Plex Sans"/>
                <w:sz w:val="20"/>
                <w:szCs w:val="18"/>
              </w:rPr>
              <w:t>,</w:t>
            </w:r>
            <w:r w:rsidRPr="00BF13C0">
              <w:rPr>
                <w:rFonts w:eastAsia="IBM Plex Sans"/>
                <w:sz w:val="20"/>
                <w:szCs w:val="18"/>
              </w:rPr>
              <w:t xml:space="preserve"> and experienced</w:t>
            </w:r>
            <w:r w:rsidR="00496994" w:rsidRPr="00BF13C0">
              <w:rPr>
                <w:rFonts w:eastAsia="IBM Plex Sans"/>
                <w:sz w:val="20"/>
                <w:szCs w:val="18"/>
              </w:rPr>
              <w:t>,</w:t>
            </w:r>
            <w:r w:rsidRPr="00BF13C0">
              <w:rPr>
                <w:rFonts w:eastAsia="IBM Plex Sans"/>
                <w:sz w:val="20"/>
                <w:szCs w:val="18"/>
              </w:rPr>
              <w:t xml:space="preserve"> in project management frameworks, methodologies and approach, </w:t>
            </w:r>
            <w:r w:rsidR="00496994" w:rsidRPr="00BF13C0">
              <w:rPr>
                <w:rFonts w:eastAsia="IBM Plex Sans"/>
                <w:sz w:val="20"/>
                <w:szCs w:val="18"/>
              </w:rPr>
              <w:t>with</w:t>
            </w:r>
            <w:r w:rsidRPr="00BF13C0">
              <w:rPr>
                <w:rFonts w:eastAsia="IBM Plex Sans"/>
                <w:sz w:val="20"/>
                <w:szCs w:val="18"/>
              </w:rPr>
              <w:t xml:space="preserve"> background</w:t>
            </w:r>
            <w:r w:rsidR="00496994" w:rsidRPr="00BF13C0">
              <w:rPr>
                <w:rFonts w:eastAsia="IBM Plex Sans"/>
                <w:sz w:val="20"/>
                <w:szCs w:val="18"/>
              </w:rPr>
              <w:t>s</w:t>
            </w:r>
            <w:r w:rsidRPr="00BF13C0">
              <w:rPr>
                <w:rFonts w:eastAsia="IBM Plex Sans"/>
                <w:sz w:val="20"/>
                <w:szCs w:val="18"/>
              </w:rPr>
              <w:t xml:space="preserve"> and skills similar in size and scope to CalSAWS. These personnel support the overall project management structure for IBM and CalSAWS, have experience in PMO-type environments, </w:t>
            </w:r>
            <w:r w:rsidR="00496994" w:rsidRPr="00BF13C0">
              <w:rPr>
                <w:rFonts w:eastAsia="IBM Plex Sans"/>
                <w:sz w:val="20"/>
                <w:szCs w:val="18"/>
              </w:rPr>
              <w:t>that</w:t>
            </w:r>
            <w:r w:rsidRPr="00BF13C0">
              <w:rPr>
                <w:rFonts w:eastAsia="IBM Plex Sans"/>
                <w:sz w:val="20"/>
                <w:szCs w:val="18"/>
              </w:rPr>
              <w:t xml:space="preserve"> can “hit the ground running on day 1.” These individuals have </w:t>
            </w:r>
            <w:r w:rsidR="00496994" w:rsidRPr="00BF13C0">
              <w:rPr>
                <w:rFonts w:eastAsia="IBM Plex Sans"/>
                <w:sz w:val="20"/>
                <w:szCs w:val="18"/>
              </w:rPr>
              <w:t>d</w:t>
            </w:r>
            <w:r w:rsidRPr="00BF13C0">
              <w:rPr>
                <w:rFonts w:eastAsia="IBM Plex Sans"/>
                <w:sz w:val="20"/>
                <w:szCs w:val="18"/>
              </w:rPr>
              <w:t>eep experience working in a multi-vendor environment.</w:t>
            </w:r>
          </w:p>
        </w:tc>
      </w:tr>
      <w:tr w:rsidR="00BA7800" w:rsidRPr="00827387" w14:paraId="2F7FDE65"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0893A2BE" w14:textId="5BEF9622"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t>Functional Subject Matter Experts (SMEs)</w:t>
            </w:r>
          </w:p>
        </w:tc>
        <w:tc>
          <w:tcPr>
            <w:tcW w:w="6655" w:type="dxa"/>
            <w:tcBorders>
              <w:tl2br w:val="none" w:sz="0" w:space="0" w:color="auto"/>
            </w:tcBorders>
          </w:tcPr>
          <w:p w14:paraId="22D70FA4" w14:textId="256A268C" w:rsidR="00BA7800" w:rsidRPr="00827387" w:rsidRDefault="002E7A1B"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BF13C0">
              <w:rPr>
                <w:rFonts w:eastAsia="IBM Plex Sans"/>
                <w:sz w:val="20"/>
                <w:szCs w:val="18"/>
              </w:rPr>
              <w:t>IBM provides a mix of IBM and contracted resources, knowledgeable of the CalSAWS environment and Consortium organizational structure, skilled with QA and testing methodologies and approaches, and knowledge and support of the application of AI and automated tools proposed for CalSAWS.</w:t>
            </w:r>
          </w:p>
        </w:tc>
      </w:tr>
      <w:tr w:rsidR="00BA7800" w:rsidRPr="00827387" w14:paraId="4E24C037" w14:textId="77777777" w:rsidTr="00553DFA">
        <w:tc>
          <w:tcPr>
            <w:cnfStyle w:val="001000000000" w:firstRow="0" w:lastRow="0" w:firstColumn="1" w:lastColumn="0" w:oddVBand="0" w:evenVBand="0" w:oddHBand="0" w:evenHBand="0" w:firstRowFirstColumn="0" w:firstRowLastColumn="0" w:lastRowFirstColumn="0" w:lastRowLastColumn="0"/>
            <w:tcW w:w="2695" w:type="dxa"/>
            <w:tcBorders>
              <w:tl2br w:val="none" w:sz="0" w:space="0" w:color="auto"/>
            </w:tcBorders>
          </w:tcPr>
          <w:p w14:paraId="57839E09" w14:textId="6F48AA75" w:rsidR="00BA7800" w:rsidRPr="00827387" w:rsidRDefault="00BA7800" w:rsidP="00BA7800">
            <w:pPr>
              <w:pStyle w:val="CS-IBMBullet1"/>
              <w:numPr>
                <w:ilvl w:val="0"/>
                <w:numId w:val="0"/>
              </w:numPr>
              <w:rPr>
                <w:rFonts w:eastAsia="IBM Plex Sans"/>
                <w:sz w:val="20"/>
                <w:szCs w:val="18"/>
              </w:rPr>
            </w:pPr>
            <w:r w:rsidRPr="00827387">
              <w:rPr>
                <w:rFonts w:eastAsia="IBM Plex Sans"/>
                <w:sz w:val="20"/>
                <w:szCs w:val="18"/>
              </w:rPr>
              <w:t>Technical Advisors</w:t>
            </w:r>
          </w:p>
        </w:tc>
        <w:tc>
          <w:tcPr>
            <w:tcW w:w="6655" w:type="dxa"/>
            <w:tcBorders>
              <w:tl2br w:val="none" w:sz="0" w:space="0" w:color="auto"/>
            </w:tcBorders>
          </w:tcPr>
          <w:p w14:paraId="6F5294D6" w14:textId="6ECF3341" w:rsidR="00BA7800" w:rsidRPr="00827387" w:rsidRDefault="000816EF" w:rsidP="00BA7800">
            <w:pPr>
              <w:pStyle w:val="CS-IBMBullet1"/>
              <w:numPr>
                <w:ilvl w:val="0"/>
                <w:numId w:val="0"/>
              </w:numPr>
              <w:cnfStyle w:val="000000000000" w:firstRow="0" w:lastRow="0" w:firstColumn="0" w:lastColumn="0" w:oddVBand="0" w:evenVBand="0" w:oddHBand="0" w:evenHBand="0" w:firstRowFirstColumn="0" w:firstRowLastColumn="0" w:lastRowFirstColumn="0" w:lastRowLastColumn="0"/>
              <w:rPr>
                <w:rFonts w:eastAsia="IBM Plex Sans"/>
                <w:sz w:val="20"/>
                <w:szCs w:val="18"/>
              </w:rPr>
            </w:pPr>
            <w:r w:rsidRPr="00BF13C0">
              <w:rPr>
                <w:rFonts w:eastAsia="IBM Plex Sans"/>
                <w:sz w:val="20"/>
                <w:szCs w:val="18"/>
              </w:rPr>
              <w:t>IBM is providing technical advisors experienced in working in a multi-vendor environment.  The advisors plan to advise IBM and other personnel on technical items, whether AI and automated tools, best practices in testing and security. The</w:t>
            </w:r>
            <w:r w:rsidR="00BF13C0" w:rsidRPr="00BF13C0">
              <w:rPr>
                <w:rFonts w:eastAsia="IBM Plex Sans"/>
                <w:sz w:val="20"/>
                <w:szCs w:val="18"/>
              </w:rPr>
              <w:t>se</w:t>
            </w:r>
            <w:r w:rsidRPr="00BF13C0">
              <w:rPr>
                <w:rFonts w:eastAsia="IBM Plex Sans"/>
                <w:sz w:val="20"/>
                <w:szCs w:val="18"/>
              </w:rPr>
              <w:t xml:space="preserve"> technical advisors assist the IBM team with resolving issues and helping to mitigate risks.</w:t>
            </w:r>
          </w:p>
        </w:tc>
      </w:tr>
    </w:tbl>
    <w:p w14:paraId="3007694A" w14:textId="77777777" w:rsidR="00BA7800" w:rsidRPr="00DA0139" w:rsidRDefault="00BA7800" w:rsidP="00BA7800">
      <w:pPr>
        <w:pStyle w:val="CS-IBMBullet1"/>
        <w:numPr>
          <w:ilvl w:val="0"/>
          <w:numId w:val="0"/>
        </w:numPr>
        <w:ind w:left="357" w:hanging="357"/>
        <w:rPr>
          <w:rFonts w:eastAsia="IBM Plex Sans"/>
        </w:rPr>
      </w:pPr>
    </w:p>
    <w:p w14:paraId="5081C423" w14:textId="2D284009" w:rsidR="00602BCB" w:rsidRPr="00123AAD" w:rsidRDefault="00602BCB" w:rsidP="00D526CA">
      <w:pPr>
        <w:pStyle w:val="CS-IBMResponseText"/>
        <w:rPr>
          <w:rFonts w:eastAsia="IBM Plex Sans"/>
          <w:b/>
          <w:bCs/>
        </w:rPr>
      </w:pPr>
      <w:r w:rsidRPr="00DA0139">
        <w:rPr>
          <w:rFonts w:eastAsia="IBM Plex Sans"/>
        </w:rPr>
        <w:t>These onsite resources serve as the primary interface with CalSAWS’ M&amp;O vendors, state staff, Consortium leadership</w:t>
      </w:r>
      <w:r w:rsidR="00743563">
        <w:rPr>
          <w:rFonts w:eastAsia="IBM Plex Sans"/>
        </w:rPr>
        <w:t>, the CalSAWS JPA and PSC</w:t>
      </w:r>
      <w:r w:rsidRPr="00DA0139">
        <w:rPr>
          <w:rFonts w:eastAsia="IBM Plex Sans"/>
        </w:rPr>
        <w:t xml:space="preserve"> and county stakeholders, ensuring </w:t>
      </w:r>
      <w:r w:rsidRPr="00E54038">
        <w:rPr>
          <w:rFonts w:eastAsia="IBM Plex Sans"/>
          <w:b/>
          <w:bCs/>
        </w:rPr>
        <w:t>governance alignment, real-time collaboration</w:t>
      </w:r>
      <w:r w:rsidRPr="00A6161E">
        <w:rPr>
          <w:rFonts w:eastAsia="IBM Plex Sans"/>
        </w:rPr>
        <w:t>,</w:t>
      </w:r>
      <w:r w:rsidRPr="00E54038">
        <w:rPr>
          <w:rFonts w:eastAsia="IBM Plex Sans"/>
          <w:b/>
          <w:bCs/>
        </w:rPr>
        <w:t xml:space="preserve"> </w:t>
      </w:r>
      <w:r w:rsidRPr="00A6161E">
        <w:rPr>
          <w:rFonts w:eastAsia="IBM Plex Sans"/>
        </w:rPr>
        <w:t>and</w:t>
      </w:r>
      <w:r w:rsidRPr="00E54038">
        <w:rPr>
          <w:rFonts w:eastAsia="IBM Plex Sans"/>
          <w:b/>
          <w:bCs/>
        </w:rPr>
        <w:t xml:space="preserve"> responsiveness to local needs</w:t>
      </w:r>
      <w:r w:rsidRPr="00A6161E">
        <w:rPr>
          <w:rFonts w:eastAsia="IBM Plex Sans"/>
        </w:rPr>
        <w:t xml:space="preserve">. </w:t>
      </w:r>
      <w:r w:rsidRPr="00DA0139">
        <w:rPr>
          <w:rFonts w:eastAsia="IBM Plex Sans"/>
        </w:rPr>
        <w:t xml:space="preserve">Their presence facilitates seamless communication, accelerates issue resolution, and supports the successful integration of project goals across all participating counties. This enables us to meet the Consortium's requirements of key staff resources being available </w:t>
      </w:r>
      <w:r w:rsidRPr="00123AAD">
        <w:rPr>
          <w:rFonts w:eastAsia="IBM Plex Sans"/>
          <w:b/>
          <w:bCs/>
        </w:rPr>
        <w:t>Remote Delivery via Client Innovation Center (CIC)</w:t>
      </w:r>
      <w:r w:rsidR="00123AAD" w:rsidRPr="00123AAD">
        <w:rPr>
          <w:rFonts w:eastAsia="IBM Plex Sans"/>
          <w:b/>
          <w:bCs/>
        </w:rPr>
        <w:t>.</w:t>
      </w:r>
    </w:p>
    <w:p w14:paraId="1D4E425E" w14:textId="21A24AEC" w:rsidR="00602BCB" w:rsidRPr="00DA0139" w:rsidRDefault="00602BCB" w:rsidP="00D526CA">
      <w:pPr>
        <w:pStyle w:val="CS-IBMResponseText"/>
        <w:rPr>
          <w:rFonts w:eastAsia="IBM Plex Sans"/>
        </w:rPr>
      </w:pPr>
      <w:r w:rsidRPr="00DA0139">
        <w:rPr>
          <w:rFonts w:eastAsia="IBM Plex Sans"/>
        </w:rPr>
        <w:t xml:space="preserve">IBM operates four CICs within United States at Lansing, Michigan; Buffalo, New York; Baton Rouge and Monroe in Louisiana; that use consistent processes, tools, and delivery methodology to serve our clients. Across these 4 CICs, IBM maintains a team of 337 public sector specialists ready to be deployed to large programs like CalSAWS as needed. Our CICs, serve as </w:t>
      </w:r>
      <w:r w:rsidR="002B7BA8" w:rsidRPr="00DA0139">
        <w:rPr>
          <w:rFonts w:eastAsia="IBM Plex Sans"/>
        </w:rPr>
        <w:t>recruitment</w:t>
      </w:r>
      <w:r w:rsidRPr="00DA0139">
        <w:rPr>
          <w:rFonts w:eastAsia="IBM Plex Sans"/>
        </w:rPr>
        <w:t xml:space="preserve"> hubs, with a proven model to rapidly attract, recruit, develop and retain staff in key areas as needed by the consortium. </w:t>
      </w:r>
    </w:p>
    <w:p w14:paraId="345BEAB1" w14:textId="25357AF9" w:rsidR="00607DD2" w:rsidRPr="00607DD2" w:rsidRDefault="00607DD2" w:rsidP="00D526CA">
      <w:pPr>
        <w:pStyle w:val="CS-IBMResponseText"/>
        <w:rPr>
          <w:rFonts w:eastAsia="IBM Plex Sans"/>
          <w:u w:val="single"/>
        </w:rPr>
      </w:pPr>
      <w:r>
        <w:rPr>
          <w:rFonts w:eastAsia="IBM Plex Sans"/>
          <w:u w:val="single"/>
        </w:rPr>
        <w:t xml:space="preserve">US Based Remote </w:t>
      </w:r>
      <w:r w:rsidR="00FE1945">
        <w:rPr>
          <w:rFonts w:eastAsia="IBM Plex Sans"/>
          <w:u w:val="single"/>
        </w:rPr>
        <w:t xml:space="preserve">team </w:t>
      </w:r>
    </w:p>
    <w:p w14:paraId="5E54C6D8" w14:textId="39B6C979" w:rsidR="00602BCB" w:rsidRPr="00DA0139" w:rsidRDefault="00602BCB" w:rsidP="00D526CA">
      <w:pPr>
        <w:pStyle w:val="CS-IBMResponseText"/>
        <w:rPr>
          <w:rFonts w:eastAsia="IBM Plex Sans"/>
        </w:rPr>
      </w:pPr>
      <w:r w:rsidRPr="00DA0139">
        <w:rPr>
          <w:rFonts w:eastAsia="IBM Plex Sans"/>
        </w:rPr>
        <w:t>Complementing the onsite team is a remote delivery unit of</w:t>
      </w:r>
      <w:r w:rsidRPr="00A631D2">
        <w:rPr>
          <w:rFonts w:eastAsia="IBM Plex Sans"/>
          <w:b/>
          <w:bCs/>
        </w:rPr>
        <w:t xml:space="preserve"> QA professionals </w:t>
      </w:r>
      <w:r w:rsidRPr="00DA0139">
        <w:rPr>
          <w:rFonts w:eastAsia="IBM Plex Sans"/>
        </w:rPr>
        <w:t xml:space="preserve">initially stationed at IBM’s </w:t>
      </w:r>
      <w:r w:rsidRPr="007464A4">
        <w:rPr>
          <w:rFonts w:eastAsia="IBM Plex Sans"/>
          <w:b/>
          <w:bCs/>
        </w:rPr>
        <w:t xml:space="preserve">Client Innovation Center in Lansing, Michigan. </w:t>
      </w:r>
      <w:r w:rsidRPr="00DA0139">
        <w:rPr>
          <w:rFonts w:eastAsia="IBM Plex Sans"/>
        </w:rPr>
        <w:t>These experts specialize in:</w:t>
      </w:r>
    </w:p>
    <w:p w14:paraId="755D3D3C" w14:textId="77777777" w:rsidR="00602BCB" w:rsidRPr="00DA0139" w:rsidRDefault="00602BCB" w:rsidP="003C396A">
      <w:pPr>
        <w:pStyle w:val="CS-IBMBullet1"/>
        <w:numPr>
          <w:ilvl w:val="0"/>
          <w:numId w:val="32"/>
        </w:numPr>
        <w:rPr>
          <w:rFonts w:eastAsia="IBM Plex Sans"/>
        </w:rPr>
      </w:pPr>
      <w:r w:rsidRPr="00DA0139">
        <w:rPr>
          <w:rFonts w:eastAsia="IBM Plex Sans"/>
        </w:rPr>
        <w:t>Test Automation</w:t>
      </w:r>
    </w:p>
    <w:p w14:paraId="15030ECD" w14:textId="77777777" w:rsidR="00602BCB" w:rsidRPr="00DA0139" w:rsidRDefault="00602BCB" w:rsidP="003C396A">
      <w:pPr>
        <w:pStyle w:val="CS-IBMBullet1"/>
        <w:numPr>
          <w:ilvl w:val="0"/>
          <w:numId w:val="32"/>
        </w:numPr>
        <w:rPr>
          <w:rFonts w:eastAsia="IBM Plex Sans"/>
        </w:rPr>
      </w:pPr>
      <w:r w:rsidRPr="00DA0139">
        <w:rPr>
          <w:rFonts w:eastAsia="IBM Plex Sans"/>
        </w:rPr>
        <w:t>Performance Engineering</w:t>
      </w:r>
    </w:p>
    <w:p w14:paraId="315B8672" w14:textId="77777777" w:rsidR="00602BCB" w:rsidRPr="00DA0139" w:rsidRDefault="00602BCB" w:rsidP="003C396A">
      <w:pPr>
        <w:pStyle w:val="CS-IBMBullet1"/>
        <w:numPr>
          <w:ilvl w:val="0"/>
          <w:numId w:val="32"/>
        </w:numPr>
        <w:rPr>
          <w:rFonts w:eastAsia="IBM Plex Sans"/>
        </w:rPr>
      </w:pPr>
      <w:r w:rsidRPr="00DA0139">
        <w:rPr>
          <w:rFonts w:eastAsia="IBM Plex Sans"/>
        </w:rPr>
        <w:t>DevSecOps</w:t>
      </w:r>
    </w:p>
    <w:p w14:paraId="1F419131" w14:textId="77777777" w:rsidR="00602BCB" w:rsidRPr="00DA0139" w:rsidRDefault="00602BCB" w:rsidP="003C396A">
      <w:pPr>
        <w:pStyle w:val="CS-IBMBullet1"/>
        <w:numPr>
          <w:ilvl w:val="0"/>
          <w:numId w:val="32"/>
        </w:numPr>
        <w:rPr>
          <w:rFonts w:eastAsia="IBM Plex Sans"/>
        </w:rPr>
      </w:pPr>
      <w:r w:rsidRPr="00DA0139">
        <w:rPr>
          <w:rFonts w:eastAsia="IBM Plex Sans"/>
        </w:rPr>
        <w:t>Cloud-native QA</w:t>
      </w:r>
    </w:p>
    <w:p w14:paraId="0FA86984" w14:textId="31C96E28" w:rsidR="00602BCB" w:rsidRPr="00DA0139" w:rsidRDefault="00602BCB" w:rsidP="00D526CA">
      <w:pPr>
        <w:pStyle w:val="CS-IBMResponseText"/>
        <w:rPr>
          <w:rFonts w:eastAsia="IBM Plex Sans"/>
        </w:rPr>
      </w:pPr>
      <w:r w:rsidRPr="00DA0139">
        <w:rPr>
          <w:rFonts w:eastAsia="IBM Plex Sans"/>
        </w:rPr>
        <w:t>Operating within U.S. business hours, the Lansing CIC team ensures rapid scalability, cost efficiency, and access to IBM’s AI-powered QA accelerators and test automation frameworks. This model enables CalSAWS to benefit from cutting-edge innovation without compromising quality or responsiveness.</w:t>
      </w:r>
    </w:p>
    <w:p w14:paraId="40A3655B" w14:textId="5C2FF105" w:rsidR="00602BCB" w:rsidRPr="00DA0139" w:rsidRDefault="00602BCB" w:rsidP="00D526CA">
      <w:pPr>
        <w:pStyle w:val="CS-IBMResponseText"/>
        <w:rPr>
          <w:rFonts w:eastAsia="IBM Plex Sans"/>
        </w:rPr>
      </w:pPr>
      <w:r w:rsidRPr="00DA0139">
        <w:rPr>
          <w:rFonts w:eastAsia="IBM Plex Sans"/>
        </w:rPr>
        <w:lastRenderedPageBreak/>
        <w:t xml:space="preserve">By selecting this staffing model with </w:t>
      </w:r>
      <w:r w:rsidR="00FA289F">
        <w:rPr>
          <w:rFonts w:eastAsia="IBM Plex Sans"/>
        </w:rPr>
        <w:t xml:space="preserve">the </w:t>
      </w:r>
      <w:r w:rsidR="009F64DE">
        <w:rPr>
          <w:rFonts w:eastAsia="IBM Plex Sans"/>
        </w:rPr>
        <w:t>optimal</w:t>
      </w:r>
      <w:r w:rsidR="00FA289F">
        <w:rPr>
          <w:rFonts w:eastAsia="IBM Plex Sans"/>
        </w:rPr>
        <w:t xml:space="preserve"> </w:t>
      </w:r>
      <w:r w:rsidRPr="00DA0139">
        <w:rPr>
          <w:rFonts w:eastAsia="IBM Plex Sans"/>
        </w:rPr>
        <w:t>mix of Onsite and remote resources, IBM and its partners fully adhere to the Consortium’s QA Services requirements, including:</w:t>
      </w:r>
    </w:p>
    <w:p w14:paraId="5774323E" w14:textId="77777777" w:rsidR="00602BCB" w:rsidRPr="00DA0139" w:rsidRDefault="00602BCB" w:rsidP="0018208E">
      <w:pPr>
        <w:pStyle w:val="CS-IBMBullet1"/>
        <w:numPr>
          <w:ilvl w:val="0"/>
          <w:numId w:val="31"/>
        </w:numPr>
        <w:rPr>
          <w:rFonts w:eastAsia="IBM Plex Sans"/>
        </w:rPr>
      </w:pPr>
      <w:r w:rsidRPr="00DA0139">
        <w:rPr>
          <w:rFonts w:eastAsia="IBM Plex Sans"/>
        </w:rPr>
        <w:t>75% onsite work by Key Staff during Transition-In, with flexibility for alternate arrangements upon approval.</w:t>
      </w:r>
    </w:p>
    <w:p w14:paraId="1FB85ABA" w14:textId="77777777" w:rsidR="00602BCB" w:rsidRPr="00DA0139" w:rsidRDefault="00602BCB" w:rsidP="0018208E">
      <w:pPr>
        <w:pStyle w:val="CS-IBMBullet1"/>
        <w:numPr>
          <w:ilvl w:val="0"/>
          <w:numId w:val="31"/>
        </w:numPr>
        <w:rPr>
          <w:rFonts w:eastAsia="IBM Plex Sans"/>
        </w:rPr>
      </w:pPr>
      <w:r w:rsidRPr="00DA0139">
        <w:rPr>
          <w:rFonts w:eastAsia="IBM Plex Sans"/>
        </w:rPr>
        <w:t>Full-time onsite presence of four Key Staff, with an additional 40% of staff working onsite periodically post-transition.</w:t>
      </w:r>
    </w:p>
    <w:p w14:paraId="7E7D621D" w14:textId="77777777" w:rsidR="00602BCB" w:rsidRPr="00DA0139" w:rsidRDefault="00602BCB" w:rsidP="0018208E">
      <w:pPr>
        <w:pStyle w:val="CS-IBMBullet1"/>
        <w:numPr>
          <w:ilvl w:val="0"/>
          <w:numId w:val="31"/>
        </w:numPr>
        <w:rPr>
          <w:rFonts w:eastAsia="IBM Plex Sans"/>
        </w:rPr>
      </w:pPr>
      <w:r w:rsidRPr="00DA0139">
        <w:rPr>
          <w:rFonts w:eastAsia="IBM Plex Sans"/>
        </w:rPr>
        <w:t>Mandatory onsite presence of at least one Key Staff on Monday mornings (8:00 A.M. – 12:00 P.M.) and Friday afternoons (12:00 P.M. – 5:00 P.M.).</w:t>
      </w:r>
    </w:p>
    <w:p w14:paraId="2B29FCDB" w14:textId="77777777" w:rsidR="00602BCB" w:rsidRPr="00DA0139" w:rsidRDefault="00602BCB" w:rsidP="0018208E">
      <w:pPr>
        <w:pStyle w:val="CS-IBMBullet1"/>
        <w:numPr>
          <w:ilvl w:val="0"/>
          <w:numId w:val="31"/>
        </w:numPr>
        <w:rPr>
          <w:rFonts w:eastAsia="IBM Plex Sans"/>
        </w:rPr>
      </w:pPr>
      <w:r w:rsidRPr="00DA0139">
        <w:rPr>
          <w:rFonts w:eastAsia="IBM Plex Sans"/>
        </w:rPr>
        <w:t>Minimized staff turnover, particularly for Key Staff, to ensure continuity and project momentum.</w:t>
      </w:r>
    </w:p>
    <w:p w14:paraId="04D61D07" w14:textId="77777777" w:rsidR="00602BCB" w:rsidRPr="00DA0139" w:rsidRDefault="00602BCB" w:rsidP="0018208E">
      <w:pPr>
        <w:pStyle w:val="CS-IBMBullet1"/>
        <w:numPr>
          <w:ilvl w:val="0"/>
          <w:numId w:val="31"/>
        </w:numPr>
        <w:rPr>
          <w:rFonts w:eastAsia="IBM Plex Sans"/>
        </w:rPr>
      </w:pPr>
      <w:r w:rsidRPr="00DA0139">
        <w:rPr>
          <w:rFonts w:eastAsia="IBM Plex Sans"/>
        </w:rPr>
        <w:t>Collaborative staffing model development with the Consortium during Transition-In to determine ongoing onsite presence.</w:t>
      </w:r>
    </w:p>
    <w:p w14:paraId="25244340" w14:textId="77777777" w:rsidR="00602BCB" w:rsidRPr="00DA0139" w:rsidRDefault="00602BCB" w:rsidP="0018208E">
      <w:pPr>
        <w:pStyle w:val="CS-IBMBullet1"/>
        <w:numPr>
          <w:ilvl w:val="0"/>
          <w:numId w:val="31"/>
        </w:numPr>
        <w:rPr>
          <w:rFonts w:eastAsia="IBM Plex Sans"/>
        </w:rPr>
      </w:pPr>
      <w:r w:rsidRPr="00DA0139">
        <w:rPr>
          <w:rFonts w:eastAsia="IBM Plex Sans"/>
        </w:rPr>
        <w:t>Support for future site relocations without service disruption.</w:t>
      </w:r>
    </w:p>
    <w:p w14:paraId="7B34C071" w14:textId="77777777" w:rsidR="00602BCB" w:rsidRPr="00DA0139" w:rsidRDefault="00602BCB" w:rsidP="0018208E">
      <w:pPr>
        <w:pStyle w:val="CS-IBMBullet1"/>
        <w:numPr>
          <w:ilvl w:val="0"/>
          <w:numId w:val="31"/>
        </w:numPr>
        <w:rPr>
          <w:rFonts w:eastAsia="IBM Plex Sans"/>
        </w:rPr>
      </w:pPr>
      <w:r w:rsidRPr="00DA0139">
        <w:rPr>
          <w:rFonts w:eastAsia="IBM Plex Sans"/>
        </w:rPr>
        <w:t>Alignment with the Consortium’s long-term goal of transitioning to a remote staffing model.</w:t>
      </w:r>
    </w:p>
    <w:p w14:paraId="427A25D8" w14:textId="77777777" w:rsidR="00272F73" w:rsidRPr="00512E9B" w:rsidRDefault="00272F73" w:rsidP="00512E9B"/>
    <w:p w14:paraId="56197115" w14:textId="2B8C5116" w:rsidR="00602BCB" w:rsidRPr="00AF09E0" w:rsidRDefault="00602BCB" w:rsidP="003720E9">
      <w:pPr>
        <w:pStyle w:val="Heading4"/>
      </w:pPr>
      <w:r w:rsidRPr="00AF09E0">
        <w:t xml:space="preserve">Proven </w:t>
      </w:r>
      <w:r w:rsidR="008232C2">
        <w:t xml:space="preserve">Staffing </w:t>
      </w:r>
      <w:r w:rsidRPr="00AF09E0">
        <w:t>Model for Success</w:t>
      </w:r>
      <w:r w:rsidR="002E2837">
        <w:t xml:space="preserve"> in State Healthcare</w:t>
      </w:r>
      <w:r w:rsidR="003720E9">
        <w:t xml:space="preserve"> Programs</w:t>
      </w:r>
    </w:p>
    <w:p w14:paraId="2914275E" w14:textId="77777777" w:rsidR="00602BCB" w:rsidRPr="00DA0139" w:rsidRDefault="00602BCB" w:rsidP="00D526CA">
      <w:pPr>
        <w:pStyle w:val="CS-IBMResponseText"/>
        <w:rPr>
          <w:rFonts w:eastAsia="IBM Plex Sans"/>
        </w:rPr>
      </w:pPr>
      <w:r w:rsidRPr="00DA0139">
        <w:rPr>
          <w:rFonts w:eastAsia="IBM Plex Sans"/>
        </w:rPr>
        <w:t>IBM has successfully deployed this hybrid staffing model across multiple state Health and Human Services (HHS) programs including CA-MMIS division in Department of Healthcare Services, consistently achieving:</w:t>
      </w:r>
    </w:p>
    <w:p w14:paraId="05371AD7" w14:textId="77777777" w:rsidR="00602BCB" w:rsidRPr="00DA0139" w:rsidRDefault="00602BCB" w:rsidP="003C396A">
      <w:pPr>
        <w:pStyle w:val="CS-IBMBullet1"/>
        <w:numPr>
          <w:ilvl w:val="0"/>
          <w:numId w:val="33"/>
        </w:numPr>
        <w:rPr>
          <w:rFonts w:eastAsia="IBM Plex Sans"/>
        </w:rPr>
      </w:pPr>
      <w:r w:rsidRPr="00DA0139">
        <w:rPr>
          <w:rFonts w:eastAsia="IBM Plex Sans"/>
        </w:rPr>
        <w:t>Accelerated release cycles</w:t>
      </w:r>
    </w:p>
    <w:p w14:paraId="2E0D6DD8" w14:textId="77777777" w:rsidR="00602BCB" w:rsidRPr="00DA0139" w:rsidRDefault="00602BCB" w:rsidP="003C396A">
      <w:pPr>
        <w:pStyle w:val="CS-IBMBullet1"/>
        <w:numPr>
          <w:ilvl w:val="0"/>
          <w:numId w:val="33"/>
        </w:numPr>
        <w:rPr>
          <w:rFonts w:eastAsia="IBM Plex Sans"/>
        </w:rPr>
      </w:pPr>
      <w:r w:rsidRPr="00DA0139">
        <w:rPr>
          <w:rFonts w:eastAsia="IBM Plex Sans"/>
        </w:rPr>
        <w:t>Improved QA outcomes</w:t>
      </w:r>
    </w:p>
    <w:p w14:paraId="543BB2BC" w14:textId="77777777" w:rsidR="00602BCB" w:rsidRPr="00DA0139" w:rsidRDefault="00602BCB" w:rsidP="003C396A">
      <w:pPr>
        <w:pStyle w:val="CS-IBMBullet1"/>
        <w:numPr>
          <w:ilvl w:val="0"/>
          <w:numId w:val="33"/>
        </w:numPr>
        <w:rPr>
          <w:rFonts w:eastAsia="IBM Plex Sans"/>
        </w:rPr>
      </w:pPr>
      <w:r w:rsidRPr="00DA0139">
        <w:rPr>
          <w:rFonts w:eastAsia="IBM Plex Sans"/>
        </w:rPr>
        <w:t>Reduced operational cost</w:t>
      </w:r>
    </w:p>
    <w:p w14:paraId="24351CF5" w14:textId="1FF70C93" w:rsidR="00FE1945" w:rsidRPr="00272F73" w:rsidRDefault="00602BCB" w:rsidP="00D526CA">
      <w:pPr>
        <w:pStyle w:val="CS-IBMResponseText"/>
        <w:rPr>
          <w:rFonts w:eastAsia="IBM Plex Sans"/>
        </w:rPr>
      </w:pPr>
      <w:r w:rsidRPr="00DA0139">
        <w:rPr>
          <w:rFonts w:eastAsia="IBM Plex Sans"/>
        </w:rPr>
        <w:t>The model’s effectiveness lies in its ability to maintain a trusted onsite presence while leveraging the delivery scale and innovation of CIC-based teams.</w:t>
      </w:r>
    </w:p>
    <w:p w14:paraId="5ECAFDB1" w14:textId="77777777" w:rsidR="00FE1945" w:rsidRDefault="00FE1945" w:rsidP="00D526CA">
      <w:pPr>
        <w:pStyle w:val="CS-IBMResponseText"/>
        <w:rPr>
          <w:rFonts w:eastAsia="IBM Plex Sans"/>
          <w:b/>
          <w:bCs/>
        </w:rPr>
      </w:pPr>
    </w:p>
    <w:p w14:paraId="2D5B376A" w14:textId="36D6BCFA" w:rsidR="00602BCB" w:rsidRPr="002B576D" w:rsidRDefault="00602BCB" w:rsidP="003720E9">
      <w:pPr>
        <w:pStyle w:val="Heading4"/>
      </w:pPr>
      <w:r w:rsidRPr="002B576D">
        <w:t xml:space="preserve">Depth and Breadth of </w:t>
      </w:r>
      <w:r w:rsidR="007320A0">
        <w:t xml:space="preserve">IBM’s </w:t>
      </w:r>
      <w:r w:rsidRPr="002B576D">
        <w:t xml:space="preserve">Quality Engineering </w:t>
      </w:r>
      <w:r w:rsidR="00300C60">
        <w:t>Staff</w:t>
      </w:r>
      <w:r w:rsidR="00C8511B">
        <w:t>ing</w:t>
      </w:r>
      <w:r w:rsidR="007320A0">
        <w:t xml:space="preserve"> </w:t>
      </w:r>
      <w:r w:rsidRPr="002B576D">
        <w:t>Expertise</w:t>
      </w:r>
    </w:p>
    <w:p w14:paraId="1F69BAA5" w14:textId="77777777" w:rsidR="00602BCB" w:rsidRPr="00DA0139" w:rsidRDefault="00602BCB" w:rsidP="00D526CA">
      <w:pPr>
        <w:pStyle w:val="CS-IBMResponseText"/>
        <w:rPr>
          <w:rFonts w:eastAsia="IBM Plex Sans"/>
        </w:rPr>
      </w:pPr>
      <w:r w:rsidRPr="00DA0139">
        <w:rPr>
          <w:rFonts w:eastAsia="IBM Plex Sans"/>
        </w:rPr>
        <w:t>IBM’s Quality Engineering (QE) Services practice includes over 15,000 professionals across North America and our CIC network. These experts bring a unique blend of consulting acumen and delivery capability, offering thought leadership in AI-enabled testing, DevSecOps, and intelligent automation. Their disciplined execution ensures predictable, high-quality outcomes aligned with CalSAWS’ mission and operational requirements.</w:t>
      </w:r>
    </w:p>
    <w:p w14:paraId="056AA519" w14:textId="77777777" w:rsidR="00E31712" w:rsidRDefault="00602BCB" w:rsidP="005978C8">
      <w:pPr>
        <w:pStyle w:val="CS-IBMResponseText"/>
        <w:keepNext/>
        <w:rPr>
          <w:b/>
          <w:bCs/>
        </w:rPr>
      </w:pPr>
      <w:bookmarkStart w:id="17" w:name="_Toc211641126"/>
      <w:r w:rsidRPr="002B576D">
        <w:rPr>
          <w:b/>
          <w:bCs/>
        </w:rPr>
        <w:lastRenderedPageBreak/>
        <w:t>Multi-Disciplinary QA Pods</w:t>
      </w:r>
      <w:bookmarkEnd w:id="17"/>
    </w:p>
    <w:p w14:paraId="4FF49355" w14:textId="77777777" w:rsidR="00731A13" w:rsidRDefault="00A772A9" w:rsidP="00731A13">
      <w:pPr>
        <w:pStyle w:val="CS-IBMResponseText"/>
        <w:keepNext/>
      </w:pPr>
      <w:r w:rsidRPr="00A772A9">
        <w:rPr>
          <w:b/>
          <w:bCs/>
          <w:noProof/>
        </w:rPr>
        <w:drawing>
          <wp:inline distT="0" distB="0" distL="0" distR="0" wp14:anchorId="0E04365A" wp14:editId="5BEDA338">
            <wp:extent cx="5943600" cy="2152015"/>
            <wp:effectExtent l="0" t="0" r="0" b="0"/>
            <wp:docPr id="1369962240" name="Picture 1" descr="A diagram of a company's management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62240" name="Picture 1" descr="A diagram of a company's management system&#10;&#10;AI-generated content may be incorrect."/>
                    <pic:cNvPicPr/>
                  </pic:nvPicPr>
                  <pic:blipFill>
                    <a:blip r:embed="rId15"/>
                    <a:stretch>
                      <a:fillRect/>
                    </a:stretch>
                  </pic:blipFill>
                  <pic:spPr>
                    <a:xfrm>
                      <a:off x="0" y="0"/>
                      <a:ext cx="5943600" cy="2152015"/>
                    </a:xfrm>
                    <a:prstGeom prst="rect">
                      <a:avLst/>
                    </a:prstGeom>
                  </pic:spPr>
                </pic:pic>
              </a:graphicData>
            </a:graphic>
          </wp:inline>
        </w:drawing>
      </w:r>
    </w:p>
    <w:p w14:paraId="33A6A29B" w14:textId="57BAC121" w:rsidR="002B576D" w:rsidRDefault="00731A13" w:rsidP="00731A13">
      <w:pPr>
        <w:pStyle w:val="Caption"/>
        <w:jc w:val="center"/>
      </w:pPr>
      <w:bookmarkStart w:id="18" w:name="_Toc213064432"/>
      <w:r>
        <w:t xml:space="preserve">Figure 3.1.1 </w:t>
      </w:r>
      <w:r>
        <w:fldChar w:fldCharType="begin"/>
      </w:r>
      <w:r>
        <w:instrText xml:space="preserve"> SEQ Figure_3.1.1 \* ARABIC </w:instrText>
      </w:r>
      <w:r>
        <w:fldChar w:fldCharType="separate"/>
      </w:r>
      <w:r>
        <w:rPr>
          <w:noProof/>
        </w:rPr>
        <w:t>3</w:t>
      </w:r>
      <w:r>
        <w:fldChar w:fldCharType="end"/>
      </w:r>
      <w:r>
        <w:t xml:space="preserve"> Proposed Organization Chart</w:t>
      </w:r>
      <w:bookmarkEnd w:id="18"/>
    </w:p>
    <w:p w14:paraId="3DF18E48" w14:textId="77777777" w:rsidR="00602BCB" w:rsidRPr="001446FC" w:rsidRDefault="00602BCB" w:rsidP="00D526CA">
      <w:pPr>
        <w:pStyle w:val="CS-IBMResponseText"/>
      </w:pPr>
      <w:r w:rsidRPr="00DA0139">
        <w:rPr>
          <w:rFonts w:eastAsia="IBM Plex Sans"/>
        </w:rPr>
        <w:t xml:space="preserve">The staffing strategy for CalSAWS is structured around multi-disciplinary </w:t>
      </w:r>
      <w:r w:rsidRPr="00CD0DF9">
        <w:rPr>
          <w:rFonts w:eastAsia="IBM Plex Sans"/>
          <w:b/>
        </w:rPr>
        <w:t>Quality Assurance (QA) pods</w:t>
      </w:r>
      <w:r w:rsidRPr="00DA0139">
        <w:rPr>
          <w:rFonts w:eastAsia="IBM Plex Sans"/>
        </w:rPr>
        <w:t xml:space="preserve">. These pods are composed of a diverse group of experts, including functional testers, automation engineers, UX/accessibility testers, performance engineers, and AI specialists. This dynamic composition ensures a comprehensive approach to quality assurance and facilitates the incorporation of multiple perspectives and expertise within each pod. </w:t>
      </w:r>
    </w:p>
    <w:p w14:paraId="61626752" w14:textId="6117C543" w:rsidR="00602BCB" w:rsidRPr="001446FC" w:rsidRDefault="00602BCB" w:rsidP="00D526CA">
      <w:pPr>
        <w:pStyle w:val="CS-IBMResponseText"/>
      </w:pPr>
      <w:r w:rsidRPr="00DA0139">
        <w:rPr>
          <w:rFonts w:eastAsia="IBM Plex Sans"/>
        </w:rPr>
        <w:t>The QA pods are designed to leverage deep knowledge of integrated eligibility systems and CalSAWS workflows. This expertise enables the teams to effectively navigate and manage the intricacies of the CalSAWS system, ensuring that all modules, including major and minor releases</w:t>
      </w:r>
      <w:r w:rsidR="00366C4D">
        <w:rPr>
          <w:rFonts w:eastAsia="IBM Plex Sans"/>
        </w:rPr>
        <w:t>, modernization efforts</w:t>
      </w:r>
      <w:r w:rsidR="1F47BACD" w:rsidRPr="61C0CF2C">
        <w:rPr>
          <w:rFonts w:eastAsia="IBM Plex Sans"/>
        </w:rPr>
        <w:t>,</w:t>
      </w:r>
      <w:r w:rsidRPr="00DA0139">
        <w:rPr>
          <w:rFonts w:eastAsia="IBM Plex Sans"/>
        </w:rPr>
        <w:t xml:space="preserve"> and expansions such as BenefitsCal are thoroughly tested and validated. The team's familiarity with the system's workflow contributes to efficient problem-solving and enhances the overall quality of the applications. </w:t>
      </w:r>
    </w:p>
    <w:p w14:paraId="27F3D80D" w14:textId="77777777" w:rsidR="00602BCB" w:rsidRPr="001446FC" w:rsidRDefault="00602BCB" w:rsidP="00D526CA">
      <w:pPr>
        <w:pStyle w:val="CS-IBMResponseText"/>
      </w:pPr>
      <w:r w:rsidRPr="00DA0139">
        <w:rPr>
          <w:rFonts w:eastAsia="IBM Plex Sans"/>
        </w:rPr>
        <w:t xml:space="preserve">Cross-training is a fundamental aspect of the QA pods, enabling team members to pivot and adapt as the CalSAWS modules evolve. This flexibility is crucial in a rapidly changing environment where new features and updates are frequently introduced. By being cross-trained, team members can seamlessly transition between different tasks and responsibilities, ensuring that all aspects of the system receive adequate attention and that the quality assurance process remains robust and uninterrupted. </w:t>
      </w:r>
    </w:p>
    <w:p w14:paraId="2EDF582D" w14:textId="10CE05E0" w:rsidR="00602BCB" w:rsidRPr="001446FC" w:rsidRDefault="00602BCB" w:rsidP="00D526CA">
      <w:pPr>
        <w:pStyle w:val="CS-IBMResponseText"/>
      </w:pPr>
      <w:r w:rsidRPr="00DA0139">
        <w:rPr>
          <w:rFonts w:eastAsia="IBM Plex Sans"/>
        </w:rPr>
        <w:t xml:space="preserve">The elimination of silos within the QA process is another significant benefit of the multi-disciplinary pod structure. By fostering collaboration among various specialists, the pods can address not only the functionality of the system but also its usability, accessibility, performance, and security. This comprehensive coverage ensures that the system is not only operationally sound but also user-friendly and secure, providing </w:t>
      </w:r>
      <w:r w:rsidR="002B7BA8" w:rsidRPr="00DA0139">
        <w:rPr>
          <w:rFonts w:eastAsia="IBM Plex Sans"/>
        </w:rPr>
        <w:t>better</w:t>
      </w:r>
      <w:r w:rsidRPr="00DA0139">
        <w:rPr>
          <w:rFonts w:eastAsia="IBM Plex Sans"/>
        </w:rPr>
        <w:t xml:space="preserve"> experience for end-users. </w:t>
      </w:r>
    </w:p>
    <w:p w14:paraId="44CB65FD" w14:textId="4C85CC6E" w:rsidR="00C850DA" w:rsidRDefault="00602BCB" w:rsidP="00EC0468">
      <w:pPr>
        <w:pStyle w:val="CS-IBMResponseText"/>
      </w:pPr>
      <w:r w:rsidRPr="00DA0139">
        <w:rPr>
          <w:rFonts w:eastAsia="IBM Plex Sans"/>
        </w:rPr>
        <w:t xml:space="preserve">In addition, the integrated approach to QA within the pods allows for rapid identification and resolution of issues. This proactive stance enhances the system's reliability and reduces the likelihood of post-deployment defects, ultimately contributing to a smoother and more efficient operation of the CalSAWS system. The QA pods' ability to adapt quickly to changes and maintain a high level of quality </w:t>
      </w:r>
      <w:r w:rsidRPr="00DA0139">
        <w:rPr>
          <w:rFonts w:eastAsia="IBM Plex Sans"/>
        </w:rPr>
        <w:lastRenderedPageBreak/>
        <w:t>assurance across all system components underscores the effectiveness of this staffing strategy.</w:t>
      </w:r>
    </w:p>
    <w:p w14:paraId="0CBDB225" w14:textId="73FE44EE" w:rsidR="00602BCB" w:rsidRPr="004C2266" w:rsidRDefault="00602BCB" w:rsidP="00D526CA">
      <w:pPr>
        <w:pStyle w:val="CS-IBMResponseText"/>
        <w:rPr>
          <w:b/>
          <w:bCs/>
        </w:rPr>
      </w:pPr>
      <w:r w:rsidRPr="004C2266">
        <w:rPr>
          <w:b/>
          <w:bCs/>
        </w:rPr>
        <w:t>Innovation Pod</w:t>
      </w:r>
    </w:p>
    <w:p w14:paraId="030E7DA6" w14:textId="77777777" w:rsidR="00122A16" w:rsidRDefault="00602BCB" w:rsidP="00122A16">
      <w:pPr>
        <w:pStyle w:val="CS-IBMResponseText"/>
        <w:rPr>
          <w:rFonts w:eastAsia="IBM Plex Sans"/>
        </w:rPr>
      </w:pPr>
      <w:r w:rsidRPr="00DA0139">
        <w:rPr>
          <w:rFonts w:eastAsia="IBM Plex Sans"/>
        </w:rPr>
        <w:t>IBM's approach to embedding a dedicated Innovation Pod within the QA staffing model for CalSAWS reflects a commitment to pioneering advanced testing methodologies and leveraging cutting-edge technology to enhance quality assurance processes. The Innovation Pod will focus on three core aspects: AI-assisted test case generation, self-healing automation scripts, and predictive defect analytics.</w:t>
      </w:r>
    </w:p>
    <w:p w14:paraId="4695C83A" w14:textId="77777777" w:rsidR="00682308" w:rsidRDefault="00682308" w:rsidP="00122A16">
      <w:pPr>
        <w:pStyle w:val="CS-IBMResponseText"/>
        <w:rPr>
          <w:rFonts w:eastAsia="IBM Plex Sans"/>
        </w:rPr>
      </w:pPr>
    </w:p>
    <w:p w14:paraId="7A0E83AD" w14:textId="77777777" w:rsidR="00731A13" w:rsidRDefault="001B43C5" w:rsidP="00731A13">
      <w:pPr>
        <w:pStyle w:val="CS-IBMResponseText"/>
        <w:keepNext/>
        <w:jc w:val="center"/>
      </w:pPr>
      <w:r w:rsidRPr="001B43C5">
        <w:rPr>
          <w:rFonts w:eastAsia="IBM Plex Sans"/>
          <w:noProof/>
        </w:rPr>
        <w:drawing>
          <wp:inline distT="0" distB="0" distL="0" distR="0" wp14:anchorId="0472E897" wp14:editId="341CBAE8">
            <wp:extent cx="3619500" cy="3707352"/>
            <wp:effectExtent l="0" t="0" r="0" b="0"/>
            <wp:docPr id="1917712593"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712593" name="Picture 1" descr="A diagram of a process&#10;&#10;AI-generated content may be incorrect."/>
                    <pic:cNvPicPr/>
                  </pic:nvPicPr>
                  <pic:blipFill>
                    <a:blip r:embed="rId16"/>
                    <a:stretch>
                      <a:fillRect/>
                    </a:stretch>
                  </pic:blipFill>
                  <pic:spPr>
                    <a:xfrm>
                      <a:off x="0" y="0"/>
                      <a:ext cx="3632891" cy="3721068"/>
                    </a:xfrm>
                    <a:prstGeom prst="rect">
                      <a:avLst/>
                    </a:prstGeom>
                  </pic:spPr>
                </pic:pic>
              </a:graphicData>
            </a:graphic>
          </wp:inline>
        </w:drawing>
      </w:r>
    </w:p>
    <w:p w14:paraId="5A3A236A" w14:textId="4228090D" w:rsidR="00682308" w:rsidRDefault="00731A13" w:rsidP="00731A13">
      <w:pPr>
        <w:pStyle w:val="Caption"/>
        <w:jc w:val="center"/>
        <w:rPr>
          <w:rFonts w:eastAsia="IBM Plex Sans"/>
        </w:rPr>
      </w:pPr>
      <w:bookmarkStart w:id="19" w:name="_Toc213064433"/>
      <w:r>
        <w:t xml:space="preserve">Figure 3.1.1 </w:t>
      </w:r>
      <w:r>
        <w:fldChar w:fldCharType="begin"/>
      </w:r>
      <w:r>
        <w:instrText xml:space="preserve"> SEQ Figure_3.1.1 \* ARABIC </w:instrText>
      </w:r>
      <w:r>
        <w:fldChar w:fldCharType="separate"/>
      </w:r>
      <w:r>
        <w:rPr>
          <w:noProof/>
        </w:rPr>
        <w:t>4</w:t>
      </w:r>
      <w:r>
        <w:fldChar w:fldCharType="end"/>
      </w:r>
      <w:r>
        <w:t xml:space="preserve"> Innovation Pod enable Quality Transformation</w:t>
      </w:r>
      <w:bookmarkEnd w:id="19"/>
    </w:p>
    <w:p w14:paraId="58894C00" w14:textId="1AE6403C" w:rsidR="00122A16" w:rsidRPr="00122A16" w:rsidRDefault="00122A16" w:rsidP="00122A16">
      <w:pPr>
        <w:pStyle w:val="CS-IBMResponseText"/>
        <w:spacing w:before="0" w:after="0"/>
        <w:rPr>
          <w:b/>
          <w:bCs/>
        </w:rPr>
      </w:pPr>
      <w:r w:rsidRPr="00122A16">
        <w:rPr>
          <w:rFonts w:eastAsia="IBM Plex Sans"/>
          <w:b/>
          <w:bCs/>
        </w:rPr>
        <w:t>Intelligent Test Design</w:t>
      </w:r>
    </w:p>
    <w:p w14:paraId="263590F7" w14:textId="77777777" w:rsidR="00122A16" w:rsidRPr="00122A16" w:rsidRDefault="00122A16" w:rsidP="00C84780">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IBM’s Intelligent Test Design approach establishes a foundation for smart, adaptive, and risk-based testing within the CalSAWS environment. By combining domain expertise with AI-driven insights, IBM ensures that test scenarios are not only comprehensive but also business-aligned. Intelligent Test Design leverages requirement traceability, usage analytics, and change impact assessment to dynamically prioritize testing based on system criticality and user experience impact.</w:t>
      </w:r>
    </w:p>
    <w:p w14:paraId="70071BF5" w14:textId="77777777" w:rsidR="00122A16" w:rsidRDefault="00122A16" w:rsidP="00C84780">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This approach minimizes redundant testing, enhances coverage in high-risk areas, and improves time-to-value for new releases. Through continuous learning from production and test data, test designs evolve over time, improving accuracy, reducing maintenance overhead, and enabling a more predictive quality strategy.</w:t>
      </w:r>
    </w:p>
    <w:p w14:paraId="60E33293" w14:textId="77777777" w:rsidR="00C84780" w:rsidRPr="00122A16" w:rsidRDefault="00C84780" w:rsidP="00122A16">
      <w:pPr>
        <w:spacing w:before="0" w:after="0"/>
        <w:rPr>
          <w:rFonts w:eastAsia="IBM Plex Sans" w:cs="Arial"/>
          <w:color w:val="0D0D0D" w:themeColor="text1" w:themeTint="F2"/>
          <w:szCs w:val="21"/>
        </w:rPr>
      </w:pPr>
    </w:p>
    <w:p w14:paraId="5BC88A1A" w14:textId="25BF35D6" w:rsidR="00122A16" w:rsidRPr="00C84780" w:rsidRDefault="00122A16" w:rsidP="00C758A9">
      <w:pPr>
        <w:keepNext/>
        <w:spacing w:before="0" w:after="0"/>
        <w:outlineLvl w:val="1"/>
        <w:rPr>
          <w:rFonts w:eastAsia="IBM Plex Sans" w:cs="Arial"/>
          <w:b/>
          <w:bCs/>
          <w:color w:val="0D0D0D" w:themeColor="text1" w:themeTint="F2"/>
          <w:szCs w:val="21"/>
        </w:rPr>
      </w:pPr>
      <w:r w:rsidRPr="00C84780">
        <w:rPr>
          <w:rFonts w:eastAsia="IBM Plex Sans" w:cs="Arial"/>
          <w:b/>
          <w:bCs/>
          <w:color w:val="0D0D0D" w:themeColor="text1" w:themeTint="F2"/>
          <w:szCs w:val="21"/>
        </w:rPr>
        <w:lastRenderedPageBreak/>
        <w:t>AI-Assisted Test Case Generation</w:t>
      </w:r>
    </w:p>
    <w:p w14:paraId="3766EA47" w14:textId="77777777" w:rsidR="00122A16" w:rsidRPr="00122A16" w:rsidRDefault="00122A16" w:rsidP="00C758A9">
      <w:pPr>
        <w:keepNext/>
        <w:spacing w:before="0" w:after="0"/>
        <w:rPr>
          <w:rFonts w:eastAsia="IBM Plex Sans" w:cs="Arial"/>
          <w:color w:val="0D0D0D" w:themeColor="text1" w:themeTint="F2"/>
          <w:szCs w:val="21"/>
        </w:rPr>
      </w:pPr>
      <w:r w:rsidRPr="00122A16">
        <w:rPr>
          <w:rFonts w:eastAsia="IBM Plex Sans" w:cs="Arial"/>
          <w:color w:val="0D0D0D" w:themeColor="text1" w:themeTint="F2"/>
          <w:szCs w:val="21"/>
        </w:rPr>
        <w:t>AI-assisted test case generation employs artificial intelligence to automatically create, optimize, and maintain comprehensive test cases based on system requirements, design specifications, and historical data. This capability significantly reduces manual effort while expanding test coverage across functional and non-functional dimensions.</w:t>
      </w:r>
    </w:p>
    <w:p w14:paraId="02366FAD" w14:textId="77777777" w:rsidR="00122A16" w:rsidRDefault="00122A16" w:rsidP="00C84780">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AI models analyze user stories and past defect patterns to identify untested scenarios and edge cases, ensuring that all critical paths are validated. Additionally, AI-driven defect classification, by severity, category, and probable root cause, enhances triage efficiency and accelerates corrective actions.</w:t>
      </w:r>
    </w:p>
    <w:p w14:paraId="400CC91E" w14:textId="77777777" w:rsidR="00C84780" w:rsidRPr="00122A16" w:rsidRDefault="00C84780" w:rsidP="00C84780">
      <w:pPr>
        <w:spacing w:before="0" w:after="0"/>
        <w:rPr>
          <w:rFonts w:eastAsia="IBM Plex Sans" w:cs="Arial"/>
          <w:color w:val="0D0D0D" w:themeColor="text1" w:themeTint="F2"/>
          <w:szCs w:val="21"/>
        </w:rPr>
      </w:pPr>
    </w:p>
    <w:p w14:paraId="7D66F711" w14:textId="458C6621" w:rsidR="00122A16" w:rsidRPr="00C84780" w:rsidRDefault="00122A16" w:rsidP="00122A16">
      <w:pPr>
        <w:spacing w:before="0" w:after="0"/>
        <w:outlineLvl w:val="1"/>
        <w:rPr>
          <w:rFonts w:eastAsia="IBM Plex Sans" w:cs="Arial"/>
          <w:b/>
          <w:bCs/>
          <w:color w:val="0D0D0D" w:themeColor="text1" w:themeTint="F2"/>
          <w:szCs w:val="21"/>
        </w:rPr>
      </w:pPr>
      <w:r w:rsidRPr="00C84780">
        <w:rPr>
          <w:rFonts w:eastAsia="IBM Plex Sans" w:cs="Arial"/>
          <w:b/>
          <w:bCs/>
          <w:color w:val="0D0D0D" w:themeColor="text1" w:themeTint="F2"/>
          <w:szCs w:val="21"/>
        </w:rPr>
        <w:t>Self-Healing Automation Scripts</w:t>
      </w:r>
    </w:p>
    <w:p w14:paraId="7221425C" w14:textId="77777777" w:rsidR="00122A16" w:rsidRP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Self-healing automation introduces resilience into test execution. When underlying application components change, such as modified locators, UI flows, or APIs, the automation framework automatically adapts to these changes without requiring manual script updates.</w:t>
      </w:r>
    </w:p>
    <w:p w14:paraId="00FBA5A8" w14:textId="77777777" w:rsid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This adaptability ensures sustained automation stability and reduces script maintenance costs. The self-healing mechanism uses machine learning to detect UI or functional changes, re-map elements, and validate updated flows, resulting in faster turnaround, higher accuracy, and uninterrupted regression testing.</w:t>
      </w:r>
    </w:p>
    <w:p w14:paraId="494BEA5B" w14:textId="77777777" w:rsidR="00C84780" w:rsidRPr="00122A16" w:rsidRDefault="00C84780" w:rsidP="00122A16">
      <w:pPr>
        <w:spacing w:before="0" w:after="0"/>
        <w:rPr>
          <w:rFonts w:eastAsia="IBM Plex Sans" w:cs="Arial"/>
          <w:color w:val="0D0D0D" w:themeColor="text1" w:themeTint="F2"/>
          <w:szCs w:val="21"/>
        </w:rPr>
      </w:pPr>
    </w:p>
    <w:p w14:paraId="510ED69A" w14:textId="1BF99E94" w:rsidR="00122A16" w:rsidRPr="00C84780" w:rsidRDefault="00122A16" w:rsidP="00122A16">
      <w:pPr>
        <w:spacing w:before="0" w:after="0"/>
        <w:outlineLvl w:val="1"/>
        <w:rPr>
          <w:rFonts w:eastAsia="IBM Plex Sans" w:cs="Arial"/>
          <w:b/>
          <w:bCs/>
          <w:color w:val="0D0D0D" w:themeColor="text1" w:themeTint="F2"/>
          <w:szCs w:val="21"/>
        </w:rPr>
      </w:pPr>
      <w:r w:rsidRPr="00C84780">
        <w:rPr>
          <w:rFonts w:eastAsia="IBM Plex Sans" w:cs="Arial"/>
          <w:b/>
          <w:bCs/>
          <w:color w:val="0D0D0D" w:themeColor="text1" w:themeTint="F2"/>
          <w:szCs w:val="21"/>
        </w:rPr>
        <w:t>Predictive Defect Analytics</w:t>
      </w:r>
    </w:p>
    <w:p w14:paraId="414BB11B" w14:textId="77777777" w:rsidR="00122A16" w:rsidRP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Predictive Defect Analytics leverages AI-driven statistical models to analyze historical defects, test coverage trends, and production incidents to predict high-risk areas in upcoming releases. This proactive approach enables QA teams to focus their testing efforts on the modules most likely to fail, increasing efficiency and reducing post-release defects.</w:t>
      </w:r>
    </w:p>
    <w:p w14:paraId="0FD631FA" w14:textId="77777777" w:rsid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By identifying and addressing quality risks early, the Innovation Pod ensures that potential issues are mitigated before they impact end users. Predictive insights also provide valuable feedback loops into development, influencing code quality and design improvements.</w:t>
      </w:r>
    </w:p>
    <w:p w14:paraId="10C3ED08" w14:textId="77777777" w:rsidR="00C84780" w:rsidRPr="00122A16" w:rsidRDefault="00C84780" w:rsidP="00122A16">
      <w:pPr>
        <w:spacing w:before="0" w:after="0"/>
        <w:rPr>
          <w:rFonts w:eastAsia="IBM Plex Sans" w:cs="Arial"/>
          <w:color w:val="0D0D0D" w:themeColor="text1" w:themeTint="F2"/>
          <w:szCs w:val="21"/>
        </w:rPr>
      </w:pPr>
    </w:p>
    <w:p w14:paraId="2747FD24" w14:textId="0DACDD5B" w:rsidR="00122A16" w:rsidRPr="00C84780" w:rsidRDefault="00122A16" w:rsidP="00122A16">
      <w:pPr>
        <w:spacing w:before="0" w:after="0"/>
        <w:outlineLvl w:val="1"/>
        <w:rPr>
          <w:rFonts w:eastAsia="IBM Plex Sans" w:cs="Arial"/>
          <w:b/>
          <w:bCs/>
          <w:color w:val="0D0D0D" w:themeColor="text1" w:themeTint="F2"/>
          <w:szCs w:val="21"/>
        </w:rPr>
      </w:pPr>
      <w:r w:rsidRPr="00C84780">
        <w:rPr>
          <w:rFonts w:eastAsia="IBM Plex Sans" w:cs="Arial"/>
          <w:b/>
          <w:bCs/>
          <w:color w:val="0D0D0D" w:themeColor="text1" w:themeTint="F2"/>
          <w:szCs w:val="21"/>
        </w:rPr>
        <w:t>Continuous Improvement and Scalability</w:t>
      </w:r>
    </w:p>
    <w:p w14:paraId="0FC72632" w14:textId="77777777" w:rsidR="00122A16" w:rsidRP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IBM’s approach to Continuous Improvement and Scalability emphasizes sustained enhancement of QA processes through data-driven insights, automation maturity, and adaptive practices. The objective is to create a testing ecosystem that evolves with changing business needs, technologies, and delivery models.</w:t>
      </w:r>
    </w:p>
    <w:p w14:paraId="3FF75735" w14:textId="77777777" w:rsidR="00682308" w:rsidRDefault="00682308" w:rsidP="00122A16">
      <w:pPr>
        <w:spacing w:before="0" w:after="0"/>
        <w:rPr>
          <w:rFonts w:eastAsia="IBM Plex Sans" w:cs="Arial"/>
          <w:color w:val="0D0D0D" w:themeColor="text1" w:themeTint="F2"/>
          <w:szCs w:val="21"/>
        </w:rPr>
      </w:pPr>
    </w:p>
    <w:p w14:paraId="66111704" w14:textId="77777777" w:rsidR="00122A16" w:rsidRP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Continuous improvement is achieved through structured experimentation, performance measurement, and iterative refinement of tools, frameworks, and methodologies. Emerging technologies, such as generative AI, intelligent automation, and low-code accelerators—are continuously evaluated to enhance productivity, reduce cycle time, and improve overall quality outcomes.</w:t>
      </w:r>
    </w:p>
    <w:p w14:paraId="097CB780" w14:textId="77777777" w:rsidR="00682308" w:rsidRDefault="00682308" w:rsidP="00122A16">
      <w:pPr>
        <w:spacing w:before="0" w:after="0"/>
        <w:rPr>
          <w:rFonts w:eastAsia="IBM Plex Sans" w:cs="Arial"/>
          <w:color w:val="0D0D0D" w:themeColor="text1" w:themeTint="F2"/>
          <w:szCs w:val="21"/>
        </w:rPr>
      </w:pPr>
    </w:p>
    <w:p w14:paraId="38ACDFE7" w14:textId="77777777" w:rsidR="00122A16" w:rsidRPr="00122A16" w:rsidRDefault="00122A16" w:rsidP="00122A16">
      <w:pPr>
        <w:spacing w:before="0" w:after="0"/>
        <w:rPr>
          <w:rFonts w:eastAsia="IBM Plex Sans" w:cs="Arial"/>
          <w:color w:val="0D0D0D" w:themeColor="text1" w:themeTint="F2"/>
          <w:szCs w:val="21"/>
        </w:rPr>
      </w:pPr>
      <w:r w:rsidRPr="00122A16">
        <w:rPr>
          <w:rFonts w:eastAsia="IBM Plex Sans" w:cs="Arial"/>
          <w:color w:val="0D0D0D" w:themeColor="text1" w:themeTint="F2"/>
          <w:szCs w:val="21"/>
        </w:rPr>
        <w:t>To ensure scalability, IBM promotes standardization of reusable assets, modular test frameworks, and cross-functional collaboration between QA engineers, developers, and business analysts. Regular knowledge-sharing sessions, skill development programs, and best-practice adoption further embed a culture of innovation and operational excellence across the QA organization.</w:t>
      </w:r>
    </w:p>
    <w:p w14:paraId="356595E7" w14:textId="4B1F476D" w:rsidR="00602BCB" w:rsidRPr="00336212" w:rsidRDefault="00B31B3B" w:rsidP="00C12490">
      <w:pPr>
        <w:pStyle w:val="Heading3"/>
      </w:pPr>
      <w:bookmarkStart w:id="20" w:name="_Toc211641127"/>
      <w:bookmarkStart w:id="21" w:name="_Toc212460241"/>
      <w:r>
        <w:lastRenderedPageBreak/>
        <w:t xml:space="preserve">3.1.6 </w:t>
      </w:r>
      <w:r w:rsidR="00602BCB" w:rsidRPr="00336212">
        <w:t>Surge Staffing for Legislative and Technology Changes</w:t>
      </w:r>
      <w:bookmarkEnd w:id="20"/>
      <w:bookmarkEnd w:id="21"/>
    </w:p>
    <w:p w14:paraId="1E73350A" w14:textId="29422CE7" w:rsidR="00602BCB" w:rsidRPr="00DA0139" w:rsidRDefault="00602BCB" w:rsidP="00531AF8">
      <w:pPr>
        <w:pStyle w:val="CS-IBMResponseText"/>
        <w:rPr>
          <w:rFonts w:eastAsia="IBM Plex Sans"/>
        </w:rPr>
      </w:pPr>
      <w:r w:rsidRPr="00DA0139">
        <w:rPr>
          <w:rFonts w:eastAsia="IBM Plex Sans"/>
        </w:rPr>
        <w:t xml:space="preserve">IBM’s Surge Staffing Playbook offers a </w:t>
      </w:r>
      <w:r w:rsidRPr="00AA7516">
        <w:rPr>
          <w:rFonts w:eastAsia="IBM Plex Sans"/>
          <w:b/>
          <w:bCs/>
        </w:rPr>
        <w:t>strategic and adaptive framework</w:t>
      </w:r>
      <w:r w:rsidRPr="00DA0139">
        <w:rPr>
          <w:rFonts w:eastAsia="IBM Plex Sans"/>
        </w:rPr>
        <w:t xml:space="preserve"> to support CalSAWS in responding to legislative mandates</w:t>
      </w:r>
      <w:r w:rsidR="00472414">
        <w:rPr>
          <w:rFonts w:eastAsia="IBM Plex Sans"/>
        </w:rPr>
        <w:t>, special projects</w:t>
      </w:r>
      <w:r w:rsidRPr="00DA0139">
        <w:rPr>
          <w:rFonts w:eastAsia="IBM Plex Sans"/>
        </w:rPr>
        <w:t xml:space="preserve"> and system modernization initiatives. This approach enables rapid QA scale-ups to address changes such as HR 1, urgently required legislative mandates, reforms to public assistance programs or processes, while supporting the consortium’s intended modernization from a monolithic CalSAWS application to modular AWS-native services.</w:t>
      </w:r>
    </w:p>
    <w:p w14:paraId="44C6772E" w14:textId="77777777" w:rsidR="00602BCB" w:rsidRPr="00DA0139" w:rsidRDefault="00602BCB" w:rsidP="00D526CA">
      <w:pPr>
        <w:pStyle w:val="CS-IBMResponseText"/>
        <w:rPr>
          <w:rFonts w:eastAsia="IBM Plex Sans"/>
        </w:rPr>
      </w:pPr>
      <w:r w:rsidRPr="00DA0139">
        <w:rPr>
          <w:rFonts w:eastAsia="IBM Plex Sans"/>
        </w:rPr>
        <w:t xml:space="preserve">At the core of this strategy are </w:t>
      </w:r>
      <w:r w:rsidRPr="00414F04">
        <w:rPr>
          <w:rFonts w:eastAsia="IBM Plex Sans"/>
          <w:b/>
          <w:bCs/>
        </w:rPr>
        <w:t>Elastic Surge Pods</w:t>
      </w:r>
      <w:r w:rsidRPr="00DA0139">
        <w:rPr>
          <w:rFonts w:eastAsia="IBM Plex Sans"/>
        </w:rPr>
        <w:t>, composed of CIC-based QA teams with specialized Health and Human Services (HHS) experience. These teams are rapidly deployable and equipped to manage complex healthcare and social services requirements without compromising quality.</w:t>
      </w:r>
    </w:p>
    <w:p w14:paraId="0CD7028B" w14:textId="77777777" w:rsidR="00602BCB" w:rsidRPr="00DA0139" w:rsidRDefault="00602BCB" w:rsidP="00D526CA">
      <w:pPr>
        <w:pStyle w:val="CS-IBMResponseText"/>
        <w:rPr>
          <w:rFonts w:eastAsia="IBM Plex Sans"/>
        </w:rPr>
      </w:pPr>
      <w:r w:rsidRPr="00DA0139">
        <w:rPr>
          <w:rFonts w:eastAsia="IBM Plex Sans"/>
        </w:rPr>
        <w:t xml:space="preserve">IBM also provides </w:t>
      </w:r>
      <w:r w:rsidRPr="004C037C">
        <w:rPr>
          <w:rFonts w:eastAsia="IBM Plex Sans"/>
          <w:b/>
          <w:bCs/>
        </w:rPr>
        <w:t>Onsite Surge Options</w:t>
      </w:r>
      <w:r w:rsidRPr="00DA0139">
        <w:rPr>
          <w:rFonts w:eastAsia="IBM Plex Sans"/>
        </w:rPr>
        <w:t>, enabling deployment of surge staff to the CalSAWS facility in Gold River, CA. This ensures seamless integration with existing teams and supports continuity, collaboration, and effective knowledge transfer.</w:t>
      </w:r>
    </w:p>
    <w:p w14:paraId="2F895860" w14:textId="77777777" w:rsidR="00602BCB" w:rsidRPr="00DA0139" w:rsidRDefault="00602BCB" w:rsidP="00D526CA">
      <w:pPr>
        <w:pStyle w:val="CS-IBMResponseText"/>
        <w:rPr>
          <w:rFonts w:eastAsia="IBM Plex Sans"/>
        </w:rPr>
      </w:pPr>
      <w:r w:rsidRPr="00DA0139">
        <w:rPr>
          <w:rFonts w:eastAsia="IBM Plex Sans"/>
        </w:rPr>
        <w:t xml:space="preserve">To address specialized needs, IBM maintains a bench of </w:t>
      </w:r>
      <w:r w:rsidRPr="004C037C">
        <w:rPr>
          <w:rFonts w:eastAsia="IBM Plex Sans"/>
          <w:b/>
          <w:bCs/>
        </w:rPr>
        <w:t xml:space="preserve">On-Demand Specialists </w:t>
      </w:r>
      <w:r w:rsidRPr="00DA0139">
        <w:rPr>
          <w:rFonts w:eastAsia="IBM Plex Sans"/>
        </w:rPr>
        <w:t>in project management, automation, AI, performance optimization, and accessibility. These experts are available for immediate deployment to resolve emerging challenges and support critical initiatives.</w:t>
      </w:r>
    </w:p>
    <w:p w14:paraId="43103876" w14:textId="374838A3" w:rsidR="00602BCB" w:rsidRPr="00DA0139" w:rsidRDefault="00602BCB" w:rsidP="00D526CA">
      <w:pPr>
        <w:pStyle w:val="CS-IBMResponseText"/>
        <w:rPr>
          <w:rFonts w:eastAsia="IBM Plex Sans"/>
        </w:rPr>
      </w:pPr>
      <w:r w:rsidRPr="00DA0139">
        <w:rPr>
          <w:rFonts w:eastAsia="IBM Plex Sans"/>
        </w:rPr>
        <w:t xml:space="preserve">A key component of IBM’s approach is </w:t>
      </w:r>
      <w:r w:rsidRPr="003316E5">
        <w:rPr>
          <w:rFonts w:eastAsia="IBM Plex Sans"/>
          <w:b/>
          <w:bCs/>
        </w:rPr>
        <w:t>Predictive Resource Planning</w:t>
      </w:r>
      <w:r w:rsidRPr="00DA0139">
        <w:rPr>
          <w:rFonts w:eastAsia="IBM Plex Sans"/>
        </w:rPr>
        <w:t xml:space="preserve">, utilizing a 13-week forecasting system aligned with </w:t>
      </w:r>
      <w:r w:rsidR="517244A7" w:rsidRPr="70E80950">
        <w:rPr>
          <w:rFonts w:eastAsia="IBM Plex Sans"/>
        </w:rPr>
        <w:t xml:space="preserve">the expected work CalSAWS has on its calendar, including major and minor releases, special projects, or </w:t>
      </w:r>
      <w:r w:rsidRPr="00DA0139">
        <w:rPr>
          <w:rFonts w:eastAsia="IBM Plex Sans"/>
        </w:rPr>
        <w:t xml:space="preserve">legislative </w:t>
      </w:r>
      <w:r w:rsidR="517244A7" w:rsidRPr="70E80950">
        <w:rPr>
          <w:rFonts w:eastAsia="IBM Plex Sans"/>
        </w:rPr>
        <w:t xml:space="preserve">mandates. </w:t>
      </w:r>
      <w:r w:rsidRPr="70E80950">
        <w:rPr>
          <w:rFonts w:eastAsia="IBM Plex Sans"/>
        </w:rPr>
        <w:t>l</w:t>
      </w:r>
      <w:r w:rsidRPr="00DA0139">
        <w:rPr>
          <w:rFonts w:eastAsia="IBM Plex Sans"/>
        </w:rPr>
        <w:t xml:space="preserve"> This enables proactive staffing aligned with </w:t>
      </w:r>
      <w:r w:rsidR="582FBE34" w:rsidRPr="70E80950">
        <w:rPr>
          <w:rFonts w:eastAsia="IBM Plex Sans"/>
        </w:rPr>
        <w:t xml:space="preserve">the </w:t>
      </w:r>
      <w:r w:rsidRPr="00DA0139">
        <w:rPr>
          <w:rFonts w:eastAsia="IBM Plex Sans"/>
        </w:rPr>
        <w:t>upcoming mandates and project milestones, ensuring readiness and timely execution.</w:t>
      </w:r>
    </w:p>
    <w:p w14:paraId="6052DBAF" w14:textId="77777777" w:rsidR="00602BCB" w:rsidRPr="00DA0139" w:rsidRDefault="00602BCB" w:rsidP="00D526CA">
      <w:pPr>
        <w:pStyle w:val="CS-IBMResponseText"/>
        <w:rPr>
          <w:rFonts w:eastAsia="IBM Plex Sans"/>
        </w:rPr>
      </w:pPr>
      <w:r w:rsidRPr="00DA0139">
        <w:rPr>
          <w:rFonts w:eastAsia="IBM Plex Sans"/>
        </w:rPr>
        <w:t>Collectively, IBM’s Surge Staffing Playbook provides CalSAWS with scalable, specialized, and strategically planned resources, enabling efficient service delivery and maintaining high standards of quality in a rapidly evolving environment.</w:t>
      </w:r>
    </w:p>
    <w:p w14:paraId="4B8F098D" w14:textId="1C8EE21E" w:rsidR="00602BCB" w:rsidRPr="00DA0139" w:rsidRDefault="00602BCB" w:rsidP="00D526CA">
      <w:pPr>
        <w:pStyle w:val="CS-IBMResponseText"/>
      </w:pPr>
      <w:r w:rsidRPr="00DA0139">
        <w:t>ACA= migration expertise.</w:t>
      </w:r>
    </w:p>
    <w:p w14:paraId="5D01E0BC" w14:textId="77777777" w:rsidR="004838ED" w:rsidRPr="00B31B3B" w:rsidRDefault="004838ED" w:rsidP="00B31B3B"/>
    <w:p w14:paraId="2000812C" w14:textId="440A1564" w:rsidR="00602BCB" w:rsidRPr="00336212" w:rsidRDefault="00B31B3B" w:rsidP="002A232E">
      <w:pPr>
        <w:pStyle w:val="Heading3"/>
      </w:pPr>
      <w:bookmarkStart w:id="22" w:name="_Toc211641128"/>
      <w:bookmarkStart w:id="23" w:name="_Toc212460242"/>
      <w:r>
        <w:t xml:space="preserve">3.1.7 </w:t>
      </w:r>
      <w:r w:rsidR="00602BCB" w:rsidRPr="00336212">
        <w:t>Productivity Levers and Year-over-Year Efficiency</w:t>
      </w:r>
      <w:bookmarkEnd w:id="22"/>
      <w:bookmarkEnd w:id="23"/>
    </w:p>
    <w:p w14:paraId="1109B8D2" w14:textId="70709FC3" w:rsidR="00602BCB" w:rsidRPr="00DA0139" w:rsidRDefault="00602BCB" w:rsidP="00D526CA">
      <w:pPr>
        <w:pStyle w:val="CS-IBMResponseText"/>
      </w:pPr>
      <w:r w:rsidRPr="00DA0139">
        <w:t>IBM's staffing approach strategically balances onsite presence with long-term efficiency by implementing a phased plan that adjusts the ratio of onsite to offsite staff over time. In the initial years, a strong onsite presence is emphasized to build relationships, alignment, trust and credibility with the CalSAWS Consortium</w:t>
      </w:r>
      <w:r w:rsidR="57199109">
        <w:t xml:space="preserve">, the CalSAWS JPA,  </w:t>
      </w:r>
      <w:r w:rsidR="57199109" w:rsidRPr="70E80950">
        <w:rPr>
          <w:rFonts w:eastAsia="IBM Plex Sans"/>
          <w:color w:val="0D0D0D" w:themeColor="text2" w:themeTint="F2"/>
          <w:szCs w:val="22"/>
        </w:rPr>
        <w:t>PSC</w:t>
      </w:r>
      <w:r w:rsidR="6796D029" w:rsidRPr="70E80950">
        <w:rPr>
          <w:rFonts w:eastAsia="IBM Plex Sans"/>
          <w:color w:val="0D0D0D" w:themeColor="text2" w:themeTint="F2"/>
          <w:szCs w:val="22"/>
        </w:rPr>
        <w:t>,</w:t>
      </w:r>
      <w:r w:rsidR="6796D029" w:rsidRPr="70E80950">
        <w:rPr>
          <w:rFonts w:eastAsia="IBM Plex Sans"/>
          <w:color w:val="000000" w:themeColor="text2"/>
          <w:szCs w:val="22"/>
        </w:rPr>
        <w:t xml:space="preserve"> a</w:t>
      </w:r>
      <w:r>
        <w:t xml:space="preserve">nd </w:t>
      </w:r>
      <w:r w:rsidR="4DD09DF1">
        <w:t>the</w:t>
      </w:r>
      <w:r w:rsidRPr="00DA0139">
        <w:t xml:space="preserve"> counties, subsequently </w:t>
      </w:r>
      <w:r w:rsidR="004F7ECF">
        <w:t>maturing</w:t>
      </w:r>
      <w:r w:rsidR="004F7ECF" w:rsidRPr="00DA0139">
        <w:t xml:space="preserve"> </w:t>
      </w:r>
      <w:r w:rsidRPr="00DA0139">
        <w:t>to a more optimized model that leverages offsite resources. This phased strategy is designed to maximize both client satisfaction and operational efficiency</w:t>
      </w:r>
      <w:r w:rsidR="004F7ECF">
        <w:t xml:space="preserve"> and will be proposed to the Consortium for approval</w:t>
      </w:r>
      <w:r w:rsidR="006B736F">
        <w:t xml:space="preserve"> on an annual basis</w:t>
      </w:r>
      <w:r w:rsidRPr="00DA0139">
        <w:t>.</w:t>
      </w:r>
    </w:p>
    <w:p w14:paraId="431A82B9" w14:textId="77777777" w:rsidR="00602BCB" w:rsidRPr="00DA0139" w:rsidRDefault="00602BCB" w:rsidP="00D526CA">
      <w:pPr>
        <w:pStyle w:val="CS-IBMResponseText"/>
        <w:rPr>
          <w:rFonts w:eastAsia="IBM Plex Sans"/>
        </w:rPr>
      </w:pPr>
      <w:r w:rsidRPr="00DA0139">
        <w:rPr>
          <w:rFonts w:eastAsia="IBM Plex Sans"/>
        </w:rPr>
        <w:t>IBM plans to maintain 75% of Key Staff work onsite during the Transition-In period. We commit to maintaining a full-time onsite presence of four Key Staff, supplemented by 20% of additional staff working onsite periodically post-transition. At least one Key Staff member will be present onsite every Monday morning and Friday afternoon to support continuity and collaboration. Our approach emphasizes minimizing staff turnover—</w:t>
      </w:r>
      <w:r w:rsidRPr="00DA0139">
        <w:rPr>
          <w:rFonts w:eastAsia="IBM Plex Sans"/>
        </w:rPr>
        <w:lastRenderedPageBreak/>
        <w:t>especially among Key Staff—to preserve project momentum. This strong onsite commitment serves to establish trust and credibility with the Consortium and its partners, ensuring that project goals are clearly understood and met while fostering a robust relationship. The onsite presence allows IBM to deliver hands-on support and immediate responses to CalSAWS needs, which is crucial in the early stages of a partnership</w:t>
      </w:r>
    </w:p>
    <w:p w14:paraId="3F930995" w14:textId="77777777" w:rsidR="00602BCB" w:rsidRPr="00DA0139" w:rsidRDefault="00602BCB" w:rsidP="00D526CA">
      <w:pPr>
        <w:pStyle w:val="CS-IBMResponseText"/>
        <w:rPr>
          <w:rFonts w:eastAsia="IBM Plex Sans"/>
        </w:rPr>
      </w:pPr>
      <w:r w:rsidRPr="00DA0139">
        <w:rPr>
          <w:rFonts w:eastAsia="IBM Plex Sans"/>
        </w:rPr>
        <w:t>As the project progresses, IBM will work collaboratively with the Consortium to define and refine the ongoing staffing model, support any future site relocations without service disruption, and remain aligned with the Consortium’s long-term goal of transitioning to a predominantly remote staffing model utilizing staffing from CIC centers. This shift not only reduces costs but also taps into the efficiencies and broader capabilities offered by offsite centers. The CIC-based model allows IBM to utilize its centers of innovation and excellence, which are equipped with advanced tools and technologies to maintain high-quality service delivery remotely. This approach also facilitates access to a larger talent pool and specialized skills that may not be available onsite.</w:t>
      </w:r>
    </w:p>
    <w:p w14:paraId="5DB5F1A9" w14:textId="77777777" w:rsidR="00602BCB" w:rsidRPr="00DA0139" w:rsidRDefault="00602BCB" w:rsidP="00D526CA">
      <w:pPr>
        <w:pStyle w:val="CS-IBMResponseText"/>
        <w:rPr>
          <w:rFonts w:eastAsia="IBM Plex Sans"/>
        </w:rPr>
      </w:pPr>
      <w:r w:rsidRPr="00DA0139">
        <w:rPr>
          <w:rFonts w:eastAsia="IBM Plex Sans"/>
        </w:rPr>
        <w:t xml:space="preserve">Efficiency in IBM's staffing approach is further enhanced through the implementation of </w:t>
      </w:r>
      <w:r w:rsidRPr="0008175F">
        <w:rPr>
          <w:rFonts w:eastAsia="IBM Plex Sans"/>
          <w:b/>
          <w:bCs/>
        </w:rPr>
        <w:t>automation-first practices</w:t>
      </w:r>
      <w:r w:rsidRPr="00DA0139">
        <w:rPr>
          <w:rFonts w:eastAsia="IBM Plex Sans"/>
        </w:rPr>
        <w:t xml:space="preserve"> and the </w:t>
      </w:r>
      <w:r w:rsidRPr="0008175F">
        <w:rPr>
          <w:rFonts w:eastAsia="IBM Plex Sans"/>
          <w:b/>
          <w:bCs/>
        </w:rPr>
        <w:t>use of reusable test assets</w:t>
      </w:r>
      <w:r w:rsidRPr="00DA0139">
        <w:rPr>
          <w:rFonts w:eastAsia="IBM Plex Sans"/>
        </w:rPr>
        <w:t>. By prioritizing automation, IBM reduces manual intervention and enhances the speed and accuracy of project delivery. Reusable test assets allow for the repeated use of proven solutions, reducing the time and effort needed to develop new test cases from scratch for each project. This practice not only saves time but also ensures consistency and reliability in testing processes.</w:t>
      </w:r>
    </w:p>
    <w:p w14:paraId="5D6C9F2E" w14:textId="32D6C3C8" w:rsidR="005978C8" w:rsidRPr="008E1B47" w:rsidRDefault="00570880" w:rsidP="008E1B47">
      <w:pPr>
        <w:pStyle w:val="CS-IBMResponseText"/>
        <w:rPr>
          <w:rFonts w:cs="Times New Roman"/>
          <w:color w:val="000000" w:themeColor="text1"/>
          <w:szCs w:val="22"/>
        </w:rPr>
      </w:pPr>
      <w:r>
        <w:rPr>
          <w:noProof/>
        </w:rPr>
        <mc:AlternateContent>
          <mc:Choice Requires="wps">
            <w:drawing>
              <wp:anchor distT="0" distB="0" distL="114300" distR="114300" simplePos="0" relativeHeight="251658258" behindDoc="0" locked="0" layoutInCell="1" allowOverlap="1" wp14:anchorId="75A89DF5" wp14:editId="6EDD33F9">
                <wp:simplePos x="0" y="0"/>
                <wp:positionH relativeFrom="column">
                  <wp:posOffset>423545</wp:posOffset>
                </wp:positionH>
                <wp:positionV relativeFrom="paragraph">
                  <wp:posOffset>3863340</wp:posOffset>
                </wp:positionV>
                <wp:extent cx="4873625" cy="635"/>
                <wp:effectExtent l="0" t="0" r="3175" b="12065"/>
                <wp:wrapTopAndBottom/>
                <wp:docPr id="201234469" name="Text Box 1"/>
                <wp:cNvGraphicFramePr/>
                <a:graphic xmlns:a="http://schemas.openxmlformats.org/drawingml/2006/main">
                  <a:graphicData uri="http://schemas.microsoft.com/office/word/2010/wordprocessingShape">
                    <wps:wsp>
                      <wps:cNvSpPr txBox="1"/>
                      <wps:spPr>
                        <a:xfrm>
                          <a:off x="0" y="0"/>
                          <a:ext cx="4873625" cy="635"/>
                        </a:xfrm>
                        <a:prstGeom prst="rect">
                          <a:avLst/>
                        </a:prstGeom>
                        <a:solidFill>
                          <a:prstClr val="white"/>
                        </a:solidFill>
                        <a:ln>
                          <a:noFill/>
                        </a:ln>
                      </wps:spPr>
                      <wps:txbx>
                        <w:txbxContent>
                          <w:p w14:paraId="5C279506" w14:textId="5A2590F6" w:rsidR="00570880" w:rsidRPr="00714E1B" w:rsidRDefault="00570880" w:rsidP="00570880">
                            <w:pPr>
                              <w:pStyle w:val="Caption"/>
                              <w:jc w:val="center"/>
                              <w:rPr>
                                <w:rFonts w:cs="Arial"/>
                                <w:noProof/>
                                <w:color w:val="0D0D0D" w:themeColor="text1" w:themeTint="F2"/>
                                <w:sz w:val="22"/>
                                <w:szCs w:val="21"/>
                              </w:rPr>
                            </w:pPr>
                            <w:bookmarkStart w:id="24" w:name="_Toc213064434"/>
                            <w:r>
                              <w:t xml:space="preserve">Figure 3.1.1 </w:t>
                            </w:r>
                            <w:r>
                              <w:fldChar w:fldCharType="begin"/>
                            </w:r>
                            <w:r>
                              <w:instrText xml:space="preserve"> SEQ Figure_3.1.1 \* ARABIC </w:instrText>
                            </w:r>
                            <w:r>
                              <w:fldChar w:fldCharType="separate"/>
                            </w:r>
                            <w:r>
                              <w:rPr>
                                <w:noProof/>
                              </w:rPr>
                              <w:t>5</w:t>
                            </w:r>
                            <w:r>
                              <w:fldChar w:fldCharType="end"/>
                            </w:r>
                            <w:r>
                              <w:t xml:space="preserve"> Year over year productivity gain</w:t>
                            </w:r>
                            <w:bookmarkEnd w:id="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A89DF5" id="Text Box 1" o:spid="_x0000_s1053" type="#_x0000_t202" style="position:absolute;margin-left:33.35pt;margin-top:304.2pt;width:383.75pt;height:.05pt;z-index:25165825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" stroked="f">
                <v:textbox style="mso-fit-shape-to-text:t" inset="0,0,0,0">
                  <w:txbxContent>
                    <w:p w14:paraId="5C279506" w14:textId="5A2590F6" w:rsidR="00570880" w:rsidRPr="00714E1B" w:rsidRDefault="00570880" w:rsidP="00570880">
                      <w:pPr>
                        <w:pStyle w:val="Caption"/>
                        <w:jc w:val="center"/>
                        <w:rPr>
                          <w:rFonts w:cs="Arial"/>
                          <w:noProof/>
                          <w:color w:val="0D0D0D" w:themeColor="text1" w:themeTint="F2"/>
                          <w:sz w:val="22"/>
                          <w:szCs w:val="21"/>
                        </w:rPr>
                      </w:pPr>
                      <w:bookmarkStart w:id="25" w:name="_Toc213064434"/>
                      <w:r>
                        <w:t xml:space="preserve">Figure 3.1.1 </w:t>
                      </w:r>
                      <w:r>
                        <w:fldChar w:fldCharType="begin"/>
                      </w:r>
                      <w:r>
                        <w:instrText xml:space="preserve"> SEQ Figure_3.1.1 \* ARABIC </w:instrText>
                      </w:r>
                      <w:r>
                        <w:fldChar w:fldCharType="separate"/>
                      </w:r>
                      <w:r>
                        <w:rPr>
                          <w:noProof/>
                        </w:rPr>
                        <w:t>5</w:t>
                      </w:r>
                      <w:r>
                        <w:fldChar w:fldCharType="end"/>
                      </w:r>
                      <w:r>
                        <w:t xml:space="preserve"> Year over year productivity gain</w:t>
                      </w:r>
                      <w:bookmarkEnd w:id="25"/>
                    </w:p>
                  </w:txbxContent>
                </v:textbox>
                <w10:wrap type="topAndBottom"/>
              </v:shape>
            </w:pict>
          </mc:Fallback>
        </mc:AlternateContent>
      </w:r>
      <w:r w:rsidR="008E1B47" w:rsidRPr="00320C75">
        <w:rPr>
          <w:noProof/>
        </w:rPr>
        <w:drawing>
          <wp:anchor distT="0" distB="0" distL="114300" distR="114300" simplePos="0" relativeHeight="251658257" behindDoc="0" locked="0" layoutInCell="1" allowOverlap="1" wp14:anchorId="71E687A9" wp14:editId="6E313197">
            <wp:simplePos x="0" y="0"/>
            <wp:positionH relativeFrom="column">
              <wp:posOffset>423630</wp:posOffset>
            </wp:positionH>
            <wp:positionV relativeFrom="paragraph">
              <wp:posOffset>1243553</wp:posOffset>
            </wp:positionV>
            <wp:extent cx="4873658" cy="2563357"/>
            <wp:effectExtent l="0" t="0" r="0" b="0"/>
            <wp:wrapTopAndBottom/>
            <wp:docPr id="2293384" name="Picture 1" descr="A graph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3384" name="Picture 1" descr="A graph of a char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873658" cy="2563357"/>
                    </a:xfrm>
                    <a:prstGeom prst="rect">
                      <a:avLst/>
                    </a:prstGeom>
                  </pic:spPr>
                </pic:pic>
              </a:graphicData>
            </a:graphic>
            <wp14:sizeRelH relativeFrom="page">
              <wp14:pctWidth>0</wp14:pctWidth>
            </wp14:sizeRelH>
            <wp14:sizeRelV relativeFrom="page">
              <wp14:pctHeight>0</wp14:pctHeight>
            </wp14:sizeRelV>
          </wp:anchor>
        </w:drawing>
      </w:r>
      <w:r w:rsidR="00602BCB" w:rsidRPr="00DA0139">
        <w:rPr>
          <w:rFonts w:eastAsia="IBM Plex Sans"/>
        </w:rPr>
        <w:t xml:space="preserve">Additionally, IBM employs </w:t>
      </w:r>
      <w:r w:rsidR="00602BCB" w:rsidRPr="00667FD5">
        <w:rPr>
          <w:rFonts w:eastAsia="IBM Plex Sans"/>
          <w:b/>
          <w:bCs/>
        </w:rPr>
        <w:t>AI-powered accelerators</w:t>
      </w:r>
      <w:r w:rsidR="00602BCB" w:rsidRPr="00DA0139">
        <w:rPr>
          <w:rFonts w:eastAsia="IBM Plex Sans"/>
        </w:rPr>
        <w:t>, such as the IBM IGNITE Quality Platform (IQP+), to further drive efficiency. These tools leverage artificial intelligence to streamline and enhance quality management processes, providing predictive analytics and automation capabilities that improve both the speed and quality of project deliverables. The use of such advanced technologies ensures that IBM can deliver high-quality outcomes while continuously optimizing its operations for better resource utilization and cost efficiency</w:t>
      </w:r>
      <w:r w:rsidR="00DC681A">
        <w:rPr>
          <w:rFonts w:eastAsia="IBM Plex Sans"/>
        </w:rPr>
        <w:t>.</w:t>
      </w:r>
      <w:r w:rsidR="00E861AB" w:rsidRPr="00E861AB">
        <w:rPr>
          <w:rFonts w:cs="Times New Roman"/>
          <w:noProof/>
          <w:color w:val="000000" w:themeColor="text1"/>
          <w:szCs w:val="22"/>
        </w:rPr>
        <w:t xml:space="preserve"> </w:t>
      </w:r>
    </w:p>
    <w:p w14:paraId="5576BE90" w14:textId="6ACD5C65" w:rsidR="00602BCB" w:rsidRPr="00E70C74" w:rsidRDefault="00B31B3B" w:rsidP="00C12490">
      <w:pPr>
        <w:pStyle w:val="Heading3"/>
      </w:pPr>
      <w:bookmarkStart w:id="25" w:name="_Toc211641129"/>
      <w:bookmarkStart w:id="26" w:name="_Toc212460243"/>
      <w:r>
        <w:lastRenderedPageBreak/>
        <w:t xml:space="preserve">3.1.8 </w:t>
      </w:r>
      <w:r w:rsidR="00602BCB" w:rsidRPr="00E70C74">
        <w:t>Knowledge Continuity and Low Turnover</w:t>
      </w:r>
      <w:bookmarkEnd w:id="25"/>
      <w:bookmarkEnd w:id="26"/>
    </w:p>
    <w:p w14:paraId="477990C6" w14:textId="77777777" w:rsidR="00602BCB" w:rsidRPr="00DA0139" w:rsidRDefault="00602BCB" w:rsidP="00DC681A">
      <w:pPr>
        <w:pStyle w:val="CS-IBMResponseText"/>
        <w:rPr>
          <w:rFonts w:eastAsia="IBM Plex Sans"/>
        </w:rPr>
      </w:pPr>
      <w:r w:rsidRPr="00DA0139">
        <w:rPr>
          <w:rFonts w:eastAsia="Calibri"/>
        </w:rPr>
        <w:t>I</w:t>
      </w:r>
      <w:r w:rsidRPr="00DA0139">
        <w:rPr>
          <w:rFonts w:eastAsia="IBM Plex Sans"/>
        </w:rPr>
        <w:t xml:space="preserve">BM places a strong emphasis on </w:t>
      </w:r>
      <w:r w:rsidRPr="00603254">
        <w:rPr>
          <w:rFonts w:eastAsia="IBM Plex Sans"/>
          <w:b/>
          <w:bCs/>
        </w:rPr>
        <w:t>knowledge continuity and minimizing staff turnover</w:t>
      </w:r>
      <w:r w:rsidRPr="00DA0139">
        <w:rPr>
          <w:rFonts w:eastAsia="IBM Plex Sans"/>
        </w:rPr>
        <w:t>, which are both critical for the success of long-term programs such as CalSAWS. A key strategy employed by IBM to ensure knowledge continuity is maintaining high retention rates, often exceeding 95%, particularly across multi-year Health and Human Services (HHS) programs. This high retention rate is attributed to a combination of factors, including a rewarding work environment, competitive compensation packages, and opportunities for professional development and growth</w:t>
      </w:r>
    </w:p>
    <w:p w14:paraId="181C8CBB" w14:textId="77777777" w:rsidR="00602BCB" w:rsidRPr="00DA0139" w:rsidRDefault="00602BCB" w:rsidP="00D526CA">
      <w:pPr>
        <w:pStyle w:val="CS-IBMResponseText"/>
        <w:rPr>
          <w:rFonts w:eastAsia="IBM Plex Sans"/>
        </w:rPr>
      </w:pPr>
      <w:r w:rsidRPr="00542015">
        <w:rPr>
          <w:rFonts w:eastAsia="IBM Plex Sans"/>
          <w:b/>
          <w:bCs/>
        </w:rPr>
        <w:t xml:space="preserve">Succession planning </w:t>
      </w:r>
      <w:r w:rsidRPr="00DA0139">
        <w:rPr>
          <w:rFonts w:eastAsia="IBM Plex Sans"/>
        </w:rPr>
        <w:t xml:space="preserve">plays a pivotal role in IBM's approach to sustaining knowledge continuity. By implementing shadow assignments for key roles, IBM ensures that critical knowledge and expertise are transferred seamlessly between team members. This proactive succession planning model identifies targeted successors for key resources, thereby mitigating the risks associated with staff turnover. Additionally, </w:t>
      </w:r>
      <w:r w:rsidRPr="009D3260">
        <w:rPr>
          <w:rFonts w:eastAsia="IBM Plex Sans"/>
          <w:b/>
          <w:bCs/>
        </w:rPr>
        <w:t xml:space="preserve">cross-training personnel </w:t>
      </w:r>
      <w:r w:rsidRPr="00DA0139">
        <w:rPr>
          <w:rFonts w:eastAsia="IBM Plex Sans"/>
        </w:rPr>
        <w:t xml:space="preserve">and employing </w:t>
      </w:r>
      <w:r w:rsidRPr="006C7582">
        <w:rPr>
          <w:rFonts w:eastAsia="IBM Plex Sans"/>
          <w:b/>
          <w:bCs/>
        </w:rPr>
        <w:t>knowledge transfer strategies</w:t>
      </w:r>
      <w:r w:rsidRPr="00DA0139">
        <w:rPr>
          <w:rFonts w:eastAsia="IBM Plex Sans"/>
        </w:rPr>
        <w:t xml:space="preserve"> are integral to minimizing the impact of employee departures. Such strategies ensure that the essential knowledge required for program continuity is captured, secured, and transitioned effectively to new resources.</w:t>
      </w:r>
    </w:p>
    <w:p w14:paraId="7C99327E" w14:textId="77777777" w:rsidR="00602BCB" w:rsidRPr="00DA0139" w:rsidRDefault="00602BCB" w:rsidP="00D526CA">
      <w:pPr>
        <w:pStyle w:val="CS-IBMResponseText"/>
        <w:rPr>
          <w:rFonts w:eastAsia="IBM Plex Sans"/>
        </w:rPr>
      </w:pPr>
      <w:r w:rsidRPr="00DA0139">
        <w:rPr>
          <w:rFonts w:eastAsia="IBM Plex Sans"/>
        </w:rPr>
        <w:t>Robust documentation and well-maintained knowledge bases are foundational to preserving institutional memory within IBM. These comprehensive documentation practices provide a solid foundation of information that new team members can leverage as they transition onto a project. This approach not only minimizes the risk of disruption from staff turnover but also ensures consistent quality and performance across the life of the program. By having detailed documentation of key processes, procedures, and knowledge, IBM facilitates a smooth transition and continuity in service delivery, even in the face of personnel changes .</w:t>
      </w:r>
    </w:p>
    <w:p w14:paraId="6A48CB0E" w14:textId="77777777" w:rsidR="00602BCB" w:rsidRPr="00DA0139" w:rsidRDefault="00602BCB" w:rsidP="00D526CA">
      <w:pPr>
        <w:pStyle w:val="CS-IBMResponseText"/>
        <w:rPr>
          <w:rFonts w:eastAsia="IBM Plex Sans"/>
        </w:rPr>
      </w:pPr>
      <w:r w:rsidRPr="00DA0139">
        <w:rPr>
          <w:rFonts w:eastAsia="IBM Plex Sans"/>
        </w:rPr>
        <w:t xml:space="preserve">Through these strategic initiatives, IBM effectively minimizes the risks associated with key staff turnover and maintains consistent quality and continuity throughout the duration of long-term programs like CalSAWS. </w:t>
      </w:r>
    </w:p>
    <w:p w14:paraId="509B9FB9" w14:textId="4C0A0AFC" w:rsidR="00602BCB" w:rsidRPr="00DA0139" w:rsidRDefault="00602BCB" w:rsidP="00D526CA">
      <w:pPr>
        <w:pStyle w:val="CS-IBMResponseText"/>
        <w:rPr>
          <w:rFonts w:eastAsia="IBM Plex Sans"/>
        </w:rPr>
      </w:pPr>
      <w:r w:rsidRPr="00DA0139">
        <w:rPr>
          <w:rFonts w:eastAsia="IBM Plex Sans"/>
        </w:rPr>
        <w:t xml:space="preserve">At the same time, IBM understands that staffing changes can be both anticipated and unexpected. Therefore, IBM commits to proactively inform the Consortium Executive Director 30 calendar days in advance of any anticipated staff change. This notice will include a transition plan designed to provide seamless continuity, incorporating two resumes of potential replacements that meet or surpass </w:t>
      </w:r>
      <w:r w:rsidR="0001535D">
        <w:rPr>
          <w:rFonts w:eastAsia="IBM Plex Sans"/>
        </w:rPr>
        <w:t xml:space="preserve">contractually </w:t>
      </w:r>
      <w:r w:rsidRPr="00DA0139">
        <w:rPr>
          <w:rFonts w:eastAsia="IBM Plex Sans"/>
        </w:rPr>
        <w:t xml:space="preserve">mandated qualifications. Each candidate will be supported by two references, granting the Consortium the option to conduct face-to-face or video interviews, and maintaining their authority to accept or reject proposed replacements. </w:t>
      </w:r>
    </w:p>
    <w:p w14:paraId="75AB02BE" w14:textId="77777777" w:rsidR="000F7453" w:rsidRPr="000F7453" w:rsidRDefault="000F7453" w:rsidP="000F7453">
      <w:pPr>
        <w:spacing w:before="0" w:after="0"/>
        <w:rPr>
          <w:rFonts w:eastAsia="IBM Plex Sans" w:cs="Arial"/>
          <w:color w:val="0D0D0D" w:themeColor="text1" w:themeTint="F2"/>
          <w:szCs w:val="21"/>
        </w:rPr>
      </w:pPr>
      <w:r w:rsidRPr="000F7453">
        <w:rPr>
          <w:rFonts w:eastAsia="IBM Plex Sans" w:cs="Arial"/>
          <w:color w:val="0D0D0D" w:themeColor="text1" w:themeTint="F2"/>
          <w:szCs w:val="21"/>
        </w:rPr>
        <w:t>In the event of unexpected Key Staff changes, IBM will notify the Consortium Executive Director within three business days of becoming aware of the change. Within seven calendar days, IBM will submit a comprehensive transition plan to ensure operational continuity and alignment with CalSAWS’s stability objectives.</w:t>
      </w:r>
    </w:p>
    <w:p w14:paraId="3C952CDB" w14:textId="77777777" w:rsidR="000F7453" w:rsidRPr="000F7453" w:rsidRDefault="000F7453" w:rsidP="000F7453">
      <w:pPr>
        <w:spacing w:before="0" w:after="0"/>
        <w:rPr>
          <w:rFonts w:eastAsia="IBM Plex Sans" w:cs="Arial"/>
          <w:color w:val="0D0D0D" w:themeColor="text1" w:themeTint="F2"/>
          <w:szCs w:val="21"/>
        </w:rPr>
      </w:pPr>
      <w:r w:rsidRPr="000F7453">
        <w:rPr>
          <w:rFonts w:eastAsia="IBM Plex Sans" w:cs="Arial"/>
          <w:color w:val="0D0D0D" w:themeColor="text1" w:themeTint="F2"/>
          <w:szCs w:val="21"/>
        </w:rPr>
        <w:t xml:space="preserve">To prevent disruptions, IBM will implement a minimum 30-day overlapping transition period between outgoing and incoming key staff members. During this time, the incoming staff will work alongside their predecessors to gain full knowledge of ongoing activities, governance protocols, and project-specific nuances. This side-by-side </w:t>
      </w:r>
      <w:r w:rsidRPr="000F7453">
        <w:rPr>
          <w:rFonts w:eastAsia="IBM Plex Sans" w:cs="Arial"/>
          <w:color w:val="0D0D0D" w:themeColor="text1" w:themeTint="F2"/>
          <w:szCs w:val="21"/>
        </w:rPr>
        <w:lastRenderedPageBreak/>
        <w:t>transition enables effective knowledge transfer, minimizes operational risk, and ensures that the incoming personnel can perform effectively from the outset.</w:t>
      </w:r>
    </w:p>
    <w:p w14:paraId="4D7BC42E" w14:textId="35DE8323" w:rsidR="00602BCB" w:rsidRPr="00B31B3B" w:rsidRDefault="000F7453" w:rsidP="00B31B3B">
      <w:pPr>
        <w:spacing w:before="0" w:after="0"/>
        <w:rPr>
          <w:rFonts w:eastAsia="IBM Plex Sans" w:cs="Arial"/>
          <w:color w:val="0D0D0D" w:themeColor="text1" w:themeTint="F2"/>
          <w:szCs w:val="21"/>
        </w:rPr>
      </w:pPr>
      <w:r w:rsidRPr="000F7453">
        <w:rPr>
          <w:rFonts w:eastAsia="IBM Plex Sans" w:cs="Arial"/>
          <w:color w:val="0D0D0D" w:themeColor="text1" w:themeTint="F2"/>
          <w:szCs w:val="21"/>
        </w:rPr>
        <w:t>Through this structured and proactive transition approach, IBM safeguards against knowledge loss, maintains QA service continuity, and ensures that CalSAWS operations remain stable and uninterrupted even during staffing changes.</w:t>
      </w:r>
    </w:p>
    <w:p w14:paraId="4FFE6CEE" w14:textId="5D4293CC" w:rsidR="00602BCB" w:rsidRPr="001446FC" w:rsidRDefault="00602BCB" w:rsidP="00D526CA">
      <w:pPr>
        <w:pStyle w:val="CS-IBMResponseText"/>
        <w:rPr>
          <w:rFonts w:eastAsia="IBM Plex Sans"/>
        </w:rPr>
      </w:pPr>
      <w:r w:rsidRPr="00DA0139">
        <w:rPr>
          <w:rFonts w:eastAsia="IBM Plex Sans"/>
        </w:rPr>
        <w:t xml:space="preserve">Our anticipatory and responsive staffing change strategy ensures seamless transitions, maintaining operational stability and aligning precisely with CalSAWS’s objectives. By offering flexibility, stringent qualifications, and continued engagement in the selection process, IBM meets </w:t>
      </w:r>
      <w:r w:rsidR="00DB12A3">
        <w:rPr>
          <w:rFonts w:eastAsia="IBM Plex Sans"/>
        </w:rPr>
        <w:t xml:space="preserve">and </w:t>
      </w:r>
      <w:r w:rsidRPr="00DA0139">
        <w:rPr>
          <w:rFonts w:eastAsia="IBM Plex Sans"/>
        </w:rPr>
        <w:t>exceeds the staffing requirements necessary for CalSAWS's sustained success.</w:t>
      </w:r>
    </w:p>
    <w:p w14:paraId="49C6A670" w14:textId="77777777" w:rsidR="00E70C74" w:rsidRPr="00B31B3B" w:rsidRDefault="00E70C74" w:rsidP="00B31B3B"/>
    <w:p w14:paraId="256A34DD" w14:textId="5766E811" w:rsidR="00602BCB" w:rsidRPr="00E70C74" w:rsidRDefault="00B31B3B" w:rsidP="00C12490">
      <w:pPr>
        <w:pStyle w:val="Heading3"/>
      </w:pPr>
      <w:bookmarkStart w:id="27" w:name="_Toc211641130"/>
      <w:bookmarkStart w:id="28" w:name="_Toc212460244"/>
      <w:r>
        <w:t xml:space="preserve">3.1.9 </w:t>
      </w:r>
      <w:r w:rsidR="00602BCB" w:rsidRPr="00E70C74">
        <w:t>Continuous Learning and Certifications</w:t>
      </w:r>
      <w:bookmarkEnd w:id="27"/>
      <w:bookmarkEnd w:id="28"/>
    </w:p>
    <w:p w14:paraId="767AD381" w14:textId="77777777" w:rsidR="00602BCB" w:rsidRPr="00DA0139" w:rsidRDefault="00602BCB" w:rsidP="00D526CA">
      <w:pPr>
        <w:pStyle w:val="CS-IBMResponseText"/>
      </w:pPr>
      <w:r w:rsidRPr="00DA0139">
        <w:t xml:space="preserve">The continuous learning initiative embodies IBM’s commitment to ongoing education and development emphasizing the importance of staying current with industry trends and technological advancements. IBM’s THINK40 program mandates that each employee completes a minimum of 40 hours of education and professional development annually. Such a structured approach ensures that practitioners not only maintain but also enhance their skills, aligning with the dynamic needs of the industry. </w:t>
      </w:r>
    </w:p>
    <w:p w14:paraId="630D70A5" w14:textId="77777777" w:rsidR="00602BCB" w:rsidRPr="00DA0139" w:rsidRDefault="00602BCB" w:rsidP="00D526CA">
      <w:pPr>
        <w:pStyle w:val="CS-IBMResponseText"/>
      </w:pPr>
      <w:r w:rsidRPr="00DA0139">
        <w:t xml:space="preserve">For the CalSAWS project, the learning program plays a pivotal role in equipping QA staff with the necessary skills to meet the specific needs of the project. The training will include AWS cloud certifications which are in line with the CalSAWS modernization roadmap ensuring that the staff is adept with the latest cloud technologies that form the backbone of modern IT infrastructure. </w:t>
      </w:r>
    </w:p>
    <w:p w14:paraId="15A760C8" w14:textId="5FBA1938" w:rsidR="00602BCB" w:rsidRPr="00DA0139" w:rsidRDefault="00403616" w:rsidP="00D526CA">
      <w:pPr>
        <w:pStyle w:val="CS-IBMResponseText"/>
      </w:pPr>
      <w:r>
        <w:t xml:space="preserve">Additionally, </w:t>
      </w:r>
      <w:r>
        <w:rPr>
          <w:rStyle w:val="Strong"/>
        </w:rPr>
        <w:t xml:space="preserve">Oracle </w:t>
      </w:r>
      <w:r w:rsidR="00FD66BD">
        <w:rPr>
          <w:rStyle w:val="Strong"/>
        </w:rPr>
        <w:t xml:space="preserve">and </w:t>
      </w:r>
      <w:r w:rsidR="005850D8">
        <w:rPr>
          <w:rStyle w:val="Strong"/>
        </w:rPr>
        <w:t xml:space="preserve">AWS </w:t>
      </w:r>
      <w:r>
        <w:rPr>
          <w:rStyle w:val="Strong"/>
        </w:rPr>
        <w:t>certifications</w:t>
      </w:r>
      <w:r>
        <w:t xml:space="preserve"> are encouraged to deepen QA understanding of CalSAWS’ underlying database architecture and data validation processes to </w:t>
      </w:r>
      <w:r>
        <w:rPr>
          <w:rStyle w:val="Strong"/>
        </w:rPr>
        <w:t>enhance test design,</w:t>
      </w:r>
      <w:r w:rsidR="00E211BA">
        <w:rPr>
          <w:rStyle w:val="Strong"/>
        </w:rPr>
        <w:t xml:space="preserve"> </w:t>
      </w:r>
      <w:r w:rsidR="00FC2464">
        <w:rPr>
          <w:rStyle w:val="Strong"/>
        </w:rPr>
        <w:t>testing of cloud technologies,</w:t>
      </w:r>
      <w:r>
        <w:rPr>
          <w:rStyle w:val="Strong"/>
        </w:rPr>
        <w:t xml:space="preserve"> data integrity validation, and cross-system verification</w:t>
      </w:r>
      <w:r>
        <w:t xml:space="preserve"> in a controlled QA environment</w:t>
      </w:r>
      <w:r w:rsidR="004663F0">
        <w:t xml:space="preserve">.  </w:t>
      </w:r>
      <w:r w:rsidR="00846569" w:rsidRPr="00DA0139" w:rsidDel="00846569">
        <w:t xml:space="preserve"> </w:t>
      </w:r>
    </w:p>
    <w:p w14:paraId="51388F47" w14:textId="0166707C" w:rsidR="00602BCB" w:rsidRDefault="03E82611" w:rsidP="00D526CA">
      <w:pPr>
        <w:pStyle w:val="CS-IBMResponseText"/>
      </w:pPr>
      <w:r w:rsidRPr="70E80950">
        <w:rPr>
          <w:rStyle w:val="Strong"/>
        </w:rPr>
        <w:t>International Software Testing and Qualification Board (</w:t>
      </w:r>
      <w:r w:rsidR="002F5107" w:rsidRPr="70E80950">
        <w:rPr>
          <w:rStyle w:val="Strong"/>
        </w:rPr>
        <w:t>ISTQB</w:t>
      </w:r>
      <w:r w:rsidR="496260AE" w:rsidRPr="70E80950">
        <w:rPr>
          <w:rStyle w:val="Strong"/>
        </w:rPr>
        <w:t>)</w:t>
      </w:r>
      <w:r w:rsidR="002F5107">
        <w:t xml:space="preserve"> and </w:t>
      </w:r>
      <w:r w:rsidR="002F5107">
        <w:rPr>
          <w:rStyle w:val="Strong"/>
        </w:rPr>
        <w:t>Agile certifications</w:t>
      </w:r>
      <w:r w:rsidR="002F5107">
        <w:t xml:space="preserve"> remain foundational, reinforcing IBM’s commitment to high standards in software testing and agile delivery. These certifications ensure that the QA team applies modern testing methodologies and adapts effectively to iterative delivery cycles. </w:t>
      </w:r>
    </w:p>
    <w:p w14:paraId="54ADFE67" w14:textId="77777777" w:rsidR="004D481D" w:rsidRPr="004D481D" w:rsidRDefault="004D481D" w:rsidP="004D481D">
      <w:pPr>
        <w:spacing w:before="100" w:beforeAutospacing="1" w:after="100" w:afterAutospacing="1"/>
        <w:rPr>
          <w:rFonts w:cs="Arial"/>
          <w:color w:val="0D0D0D" w:themeColor="text1" w:themeTint="F2"/>
          <w:szCs w:val="21"/>
        </w:rPr>
      </w:pPr>
      <w:r w:rsidRPr="004D481D">
        <w:rPr>
          <w:rFonts w:cs="Arial"/>
          <w:color w:val="0D0D0D" w:themeColor="text1" w:themeTint="F2"/>
          <w:szCs w:val="21"/>
        </w:rPr>
        <w:t>Accessibility, privacy, and security compliance training form a central part of the curriculum, ensuring full alignment with applicable federal and state laws, regulations, and agreements, including:</w:t>
      </w:r>
    </w:p>
    <w:p w14:paraId="32059B8C" w14:textId="77777777" w:rsidR="004D481D" w:rsidRPr="004D481D" w:rsidRDefault="004D481D" w:rsidP="004D481D">
      <w:pPr>
        <w:numPr>
          <w:ilvl w:val="0"/>
          <w:numId w:val="29"/>
        </w:numPr>
        <w:spacing w:before="100" w:beforeAutospacing="1" w:after="100" w:afterAutospacing="1"/>
        <w:rPr>
          <w:rFonts w:cs="Arial"/>
          <w:color w:val="0D0D0D" w:themeColor="text1" w:themeTint="F2"/>
          <w:szCs w:val="21"/>
        </w:rPr>
      </w:pPr>
      <w:r w:rsidRPr="004D481D">
        <w:rPr>
          <w:rFonts w:cs="Arial"/>
          <w:color w:val="0D0D0D" w:themeColor="text1" w:themeTint="F2"/>
          <w:szCs w:val="21"/>
        </w:rPr>
        <w:t>HIPAA (Health Insurance Portability and Accountability Act),</w:t>
      </w:r>
    </w:p>
    <w:p w14:paraId="1C2D1371" w14:textId="77777777" w:rsidR="004D481D" w:rsidRPr="004D481D" w:rsidRDefault="004D481D" w:rsidP="004D481D">
      <w:pPr>
        <w:numPr>
          <w:ilvl w:val="0"/>
          <w:numId w:val="29"/>
        </w:numPr>
        <w:spacing w:before="100" w:beforeAutospacing="1" w:after="100" w:afterAutospacing="1"/>
        <w:rPr>
          <w:rFonts w:cs="Arial"/>
          <w:color w:val="0D0D0D" w:themeColor="text1" w:themeTint="F2"/>
          <w:szCs w:val="21"/>
        </w:rPr>
      </w:pPr>
      <w:r w:rsidRPr="004D481D">
        <w:rPr>
          <w:rFonts w:cs="Arial"/>
          <w:color w:val="0D0D0D" w:themeColor="text1" w:themeTint="F2"/>
          <w:szCs w:val="21"/>
        </w:rPr>
        <w:t>Medi-Cal Privacy and Security Agreements,</w:t>
      </w:r>
    </w:p>
    <w:p w14:paraId="084F97C4" w14:textId="77777777" w:rsidR="004D481D" w:rsidRPr="004D481D" w:rsidRDefault="004D481D" w:rsidP="004D481D">
      <w:pPr>
        <w:numPr>
          <w:ilvl w:val="0"/>
          <w:numId w:val="29"/>
        </w:numPr>
        <w:spacing w:before="100" w:beforeAutospacing="1" w:after="100" w:afterAutospacing="1"/>
        <w:rPr>
          <w:rFonts w:cs="Arial"/>
          <w:color w:val="0D0D0D" w:themeColor="text1" w:themeTint="F2"/>
          <w:szCs w:val="21"/>
        </w:rPr>
      </w:pPr>
      <w:r w:rsidRPr="004D481D">
        <w:rPr>
          <w:rFonts w:cs="Arial"/>
          <w:color w:val="0D0D0D" w:themeColor="text1" w:themeTint="F2"/>
          <w:szCs w:val="21"/>
        </w:rPr>
        <w:t>California Health and Human Services (CHHS) security and confidentiality standards, and</w:t>
      </w:r>
    </w:p>
    <w:p w14:paraId="707DF924" w14:textId="77777777" w:rsidR="004D481D" w:rsidRPr="004D481D" w:rsidRDefault="004D481D" w:rsidP="004D481D">
      <w:pPr>
        <w:numPr>
          <w:ilvl w:val="0"/>
          <w:numId w:val="29"/>
        </w:numPr>
        <w:spacing w:before="100" w:beforeAutospacing="1" w:after="100" w:afterAutospacing="1"/>
        <w:rPr>
          <w:rFonts w:cs="Arial"/>
          <w:color w:val="0D0D0D" w:themeColor="text1" w:themeTint="F2"/>
          <w:szCs w:val="21"/>
        </w:rPr>
      </w:pPr>
      <w:r w:rsidRPr="004D481D">
        <w:rPr>
          <w:rFonts w:cs="Arial"/>
          <w:color w:val="0D0D0D" w:themeColor="text1" w:themeTint="F2"/>
          <w:szCs w:val="21"/>
        </w:rPr>
        <w:t>The CalSAWS Consortium CISO’s security directives and data handling policies.</w:t>
      </w:r>
    </w:p>
    <w:p w14:paraId="2BCBCA19" w14:textId="77777777" w:rsidR="004D481D" w:rsidRPr="004D481D" w:rsidRDefault="004D481D" w:rsidP="004D481D">
      <w:pPr>
        <w:spacing w:before="100" w:beforeAutospacing="1" w:after="100" w:afterAutospacing="1"/>
        <w:rPr>
          <w:rFonts w:cs="Arial"/>
          <w:color w:val="0D0D0D" w:themeColor="text1" w:themeTint="F2"/>
          <w:szCs w:val="21"/>
        </w:rPr>
      </w:pPr>
      <w:r w:rsidRPr="004D481D">
        <w:rPr>
          <w:rFonts w:cs="Arial"/>
          <w:color w:val="0D0D0D" w:themeColor="text1" w:themeTint="F2"/>
          <w:szCs w:val="21"/>
        </w:rPr>
        <w:lastRenderedPageBreak/>
        <w:t>These training modules ensure all QA personnel understand and uphold strict requirements for data protection, confidentiality, and secure handling of sensitive information within CalSAWS’ governance structure.</w:t>
      </w:r>
    </w:p>
    <w:p w14:paraId="4414E9D6" w14:textId="77777777" w:rsidR="004D481D" w:rsidRPr="004D481D" w:rsidRDefault="004D481D" w:rsidP="004D481D">
      <w:pPr>
        <w:spacing w:before="100" w:beforeAutospacing="1" w:after="100" w:afterAutospacing="1"/>
        <w:rPr>
          <w:rFonts w:cs="Arial"/>
          <w:color w:val="0D0D0D" w:themeColor="text1" w:themeTint="F2"/>
          <w:szCs w:val="21"/>
        </w:rPr>
      </w:pPr>
      <w:r w:rsidRPr="004D481D">
        <w:rPr>
          <w:rFonts w:cs="Arial"/>
          <w:color w:val="0D0D0D" w:themeColor="text1" w:themeTint="F2"/>
          <w:szCs w:val="21"/>
        </w:rPr>
        <w:t>In addition to these technical and compliance-focused certifications, the program incorporates training specific to CalSAWS eligibility rules and county workflows. This ensures QA validation aligns with how Medi-Cal, CalFRESH, CalWORKs, Refugee Cash Assistance, and other benefits are administered, enhancing both the accuracy and relevance of QA outcomes.</w:t>
      </w:r>
    </w:p>
    <w:p w14:paraId="070C0484" w14:textId="2D3EA6F8" w:rsidR="004D481D" w:rsidRPr="004521F0" w:rsidRDefault="004D481D" w:rsidP="004521F0">
      <w:pPr>
        <w:spacing w:before="100" w:beforeAutospacing="1" w:after="100" w:afterAutospacing="1"/>
        <w:rPr>
          <w:rFonts w:cs="Arial"/>
          <w:color w:val="0D0D0D" w:themeColor="text1" w:themeTint="F2"/>
          <w:szCs w:val="21"/>
        </w:rPr>
      </w:pPr>
      <w:r w:rsidRPr="004D481D">
        <w:rPr>
          <w:rFonts w:cs="Arial"/>
          <w:color w:val="0D0D0D" w:themeColor="text1" w:themeTint="F2"/>
          <w:szCs w:val="21"/>
        </w:rPr>
        <w:t>The breadth and depth of IBM’s training offerings underscore a culture of continuous learning and professional growth. By investing in comprehensive, compliance-aligned training programs, IBM ensures that all QA staff</w:t>
      </w:r>
      <w:r>
        <w:rPr>
          <w:rFonts w:cs="Arial"/>
          <w:color w:val="0D0D0D" w:themeColor="text1" w:themeTint="F2"/>
          <w:szCs w:val="21"/>
        </w:rPr>
        <w:t xml:space="preserve"> </w:t>
      </w:r>
      <w:r w:rsidRPr="004D481D">
        <w:rPr>
          <w:rFonts w:cs="Arial"/>
          <w:color w:val="0D0D0D" w:themeColor="text1" w:themeTint="F2"/>
          <w:szCs w:val="21"/>
        </w:rPr>
        <w:t>across IBM, KAI Partners, and Speridian</w:t>
      </w:r>
      <w:r>
        <w:rPr>
          <w:rFonts w:cs="Arial"/>
          <w:color w:val="0D0D0D" w:themeColor="text1" w:themeTint="F2"/>
          <w:szCs w:val="21"/>
        </w:rPr>
        <w:t xml:space="preserve"> </w:t>
      </w:r>
      <w:r w:rsidRPr="004D481D">
        <w:rPr>
          <w:rFonts w:cs="Arial"/>
          <w:color w:val="0D0D0D" w:themeColor="text1" w:themeTint="F2"/>
          <w:szCs w:val="21"/>
        </w:rPr>
        <w:t>remain at the forefront of technological and regulatory advancements, capable of delivering secure, high-quality, and compliant QA outcomes for CalSAWS.</w:t>
      </w:r>
    </w:p>
    <w:p w14:paraId="00C98F9A" w14:textId="6A1A7142" w:rsidR="00602BCB" w:rsidRPr="00DA0139" w:rsidRDefault="00AA1BD4" w:rsidP="00E64EC8">
      <w:pPr>
        <w:pStyle w:val="Heading4"/>
      </w:pPr>
      <w:r>
        <w:t xml:space="preserve">Delivering </w:t>
      </w:r>
      <w:r w:rsidR="002065F8">
        <w:t>Purpose-Built</w:t>
      </w:r>
      <w:r w:rsidR="00C41DD3">
        <w:t xml:space="preserve"> </w:t>
      </w:r>
      <w:r w:rsidR="00602BCB" w:rsidRPr="00875DFC">
        <w:t>Measurable Outcomes</w:t>
      </w:r>
      <w:r w:rsidR="00881EA1">
        <w:t xml:space="preserve"> </w:t>
      </w:r>
      <w:r w:rsidR="00BD7D55">
        <w:t>for</w:t>
      </w:r>
      <w:r w:rsidR="00E63ADF">
        <w:t xml:space="preserve"> CalSAWS</w:t>
      </w:r>
    </w:p>
    <w:p w14:paraId="4F96B985" w14:textId="26B5F575" w:rsidR="00602BCB" w:rsidRPr="00DA0139" w:rsidRDefault="00602BCB" w:rsidP="00D526CA">
      <w:pPr>
        <w:pStyle w:val="CS-IBMResponseText"/>
        <w:rPr>
          <w:rFonts w:eastAsia="IBM Plex Sans"/>
        </w:rPr>
      </w:pPr>
      <w:r w:rsidRPr="00DA0139">
        <w:rPr>
          <w:rFonts w:eastAsia="IBM Plex Sans"/>
        </w:rPr>
        <w:t xml:space="preserve">IBM’s staffing approach is purpose-built to support CalSAWS’ mission of delivering reliable, efficient, and cost-effective services across California’s counties. By focusing on measurable outcomes, IBM ensures that staffing decisions directly contribute to program success and operational excellence. A key outcome is </w:t>
      </w:r>
      <w:r w:rsidRPr="00134735">
        <w:rPr>
          <w:rFonts w:eastAsia="IBM Plex Sans"/>
          <w:b/>
          <w:bCs/>
        </w:rPr>
        <w:t>defect containment</w:t>
      </w:r>
      <w:r w:rsidRPr="00DA0139">
        <w:rPr>
          <w:rFonts w:eastAsia="IBM Plex Sans"/>
        </w:rPr>
        <w:t>, with IBM achieving less than 1% defect escape to production in large-scale Health and Human Services programs such as CAMMIS. For CalSAWS, this translates to fewer disruptions, higher system reliability, and improved user trust—critical in a system serving millions of Californians.</w:t>
      </w:r>
    </w:p>
    <w:p w14:paraId="64581475" w14:textId="77777777" w:rsidR="00602BCB" w:rsidRPr="00DA0139" w:rsidRDefault="00602BCB" w:rsidP="00D526CA">
      <w:pPr>
        <w:pStyle w:val="CS-IBMResponseText"/>
        <w:rPr>
          <w:rFonts w:eastAsia="IBM Plex Sans"/>
        </w:rPr>
      </w:pPr>
      <w:r w:rsidRPr="00DA0139">
        <w:rPr>
          <w:rFonts w:eastAsia="IBM Plex Sans"/>
        </w:rPr>
        <w:t xml:space="preserve">Additionally, IBM’s use of </w:t>
      </w:r>
      <w:r w:rsidRPr="006E4E0C">
        <w:rPr>
          <w:rFonts w:eastAsia="IBM Plex Sans"/>
          <w:b/>
          <w:bCs/>
        </w:rPr>
        <w:t>automation to improve regression efficiency</w:t>
      </w:r>
      <w:r w:rsidRPr="00DA0139">
        <w:rPr>
          <w:rFonts w:eastAsia="IBM Plex Sans"/>
        </w:rPr>
        <w:t xml:space="preserve">—reducing cycles by 25–40%—means faster turnaround times and reduced testing overhead, allowing CalSAWS to respond more quickly to policy changes and system updates. IBM’s ability to </w:t>
      </w:r>
      <w:r w:rsidRPr="00930324">
        <w:rPr>
          <w:rFonts w:eastAsia="IBM Plex Sans"/>
          <w:b/>
          <w:bCs/>
        </w:rPr>
        <w:t xml:space="preserve">scale staffing by 30–40% within four weeks </w:t>
      </w:r>
      <w:r w:rsidRPr="00DA0139">
        <w:rPr>
          <w:rFonts w:eastAsia="IBM Plex Sans"/>
        </w:rPr>
        <w:t>ensures readiness to meet legislative deadlines, newly introduced Consortium priorities and projects or unexpected surges in workload, a vital capability for a statewide system with dynamic demands.</w:t>
      </w:r>
    </w:p>
    <w:p w14:paraId="2215BC73" w14:textId="35E219B5" w:rsidR="00602BCB" w:rsidRPr="00DA0139" w:rsidRDefault="00602BCB" w:rsidP="00D526CA">
      <w:pPr>
        <w:pStyle w:val="CS-IBMResponseText"/>
        <w:rPr>
          <w:rFonts w:eastAsia="IBM Plex Sans"/>
        </w:rPr>
      </w:pPr>
      <w:r w:rsidRPr="00DA0139">
        <w:rPr>
          <w:rFonts w:eastAsia="IBM Plex Sans"/>
        </w:rPr>
        <w:t xml:space="preserve">IBM also delivers </w:t>
      </w:r>
      <w:r w:rsidRPr="00FA0A3C">
        <w:rPr>
          <w:rFonts w:eastAsia="IBM Plex Sans"/>
          <w:b/>
          <w:bCs/>
        </w:rPr>
        <w:t>cost savings exceeding 15% in total cost of ownership</w:t>
      </w:r>
      <w:r w:rsidRPr="00DA0139">
        <w:rPr>
          <w:rFonts w:eastAsia="IBM Plex Sans"/>
        </w:rPr>
        <w:t xml:space="preserve"> through optimized staffing models that balance quality and budget. For CalSAWS, this means more value from every dollar spent, without compromising service delivery. Finally, IBM’s approach minimizes </w:t>
      </w:r>
      <w:r w:rsidRPr="001E64A1">
        <w:rPr>
          <w:rFonts w:eastAsia="IBM Plex Sans"/>
          <w:b/>
          <w:bCs/>
        </w:rPr>
        <w:t>staff turnover</w:t>
      </w:r>
      <w:r w:rsidRPr="00DA0139">
        <w:rPr>
          <w:rFonts w:eastAsia="IBM Plex Sans"/>
        </w:rPr>
        <w:t>, especially among Key Staff, ensuring continuity, preserving institutional knowledge, and maintaining momentum throughout the project lifecycle.</w:t>
      </w:r>
    </w:p>
    <w:p w14:paraId="36EB497E" w14:textId="77777777" w:rsidR="00602BCB" w:rsidRPr="00DA0139" w:rsidRDefault="00602BCB" w:rsidP="00D526CA">
      <w:pPr>
        <w:pStyle w:val="CS-IBMResponseText"/>
        <w:rPr>
          <w:rFonts w:eastAsia="IBM Plex Sans"/>
        </w:rPr>
      </w:pPr>
      <w:r w:rsidRPr="00DA0139">
        <w:rPr>
          <w:rFonts w:eastAsia="IBM Plex Sans"/>
        </w:rPr>
        <w:t>Together, these outcomes align with CalSAWS’ priorities: operational stability, fiscal responsibility, and the ability to adapt quickly to evolving needs—all supported by a staffing model that is both strategic and responsive.</w:t>
      </w:r>
    </w:p>
    <w:p w14:paraId="08AEF90A" w14:textId="3EC43984" w:rsidR="00602BCB" w:rsidRPr="0075257B" w:rsidRDefault="00733939" w:rsidP="00D526CA">
      <w:pPr>
        <w:pStyle w:val="CS-IBMResponseText"/>
        <w:rPr>
          <w:b/>
          <w:bCs/>
          <w:color w:val="0070C0"/>
        </w:rPr>
      </w:pPr>
      <w:r>
        <w:rPr>
          <w:b/>
          <w:bCs/>
          <w:color w:val="0070C0"/>
        </w:rPr>
        <w:t>Comprehensive</w:t>
      </w:r>
      <w:r w:rsidR="0090229B">
        <w:rPr>
          <w:b/>
          <w:bCs/>
          <w:color w:val="0070C0"/>
        </w:rPr>
        <w:t xml:space="preserve"> </w:t>
      </w:r>
      <w:r w:rsidR="008F76C4">
        <w:rPr>
          <w:b/>
          <w:bCs/>
          <w:color w:val="0070C0"/>
        </w:rPr>
        <w:t>QA</w:t>
      </w:r>
      <w:r w:rsidR="00FF21DA">
        <w:rPr>
          <w:b/>
          <w:bCs/>
          <w:color w:val="0070C0"/>
        </w:rPr>
        <w:t xml:space="preserve"> Organization</w:t>
      </w:r>
      <w:r w:rsidR="006C63FD">
        <w:rPr>
          <w:b/>
          <w:bCs/>
          <w:color w:val="0070C0"/>
        </w:rPr>
        <w:t>,</w:t>
      </w:r>
      <w:r w:rsidR="00664875">
        <w:rPr>
          <w:b/>
          <w:bCs/>
          <w:color w:val="0070C0"/>
        </w:rPr>
        <w:t xml:space="preserve"> </w:t>
      </w:r>
      <w:r w:rsidR="00602BCB" w:rsidRPr="0075257B">
        <w:rPr>
          <w:b/>
          <w:bCs/>
          <w:color w:val="0070C0"/>
        </w:rPr>
        <w:t>Roles &amp; Responsibilities with RACI</w:t>
      </w:r>
    </w:p>
    <w:p w14:paraId="07571173" w14:textId="77777777" w:rsidR="00864038" w:rsidRDefault="00864038" w:rsidP="001916D6">
      <w:pPr>
        <w:spacing w:before="0" w:after="0"/>
        <w:rPr>
          <w:rFonts w:eastAsia="IBM Plex Sans" w:cs="Arial"/>
          <w:color w:val="0D0D0D" w:themeColor="text1" w:themeTint="F2"/>
          <w:szCs w:val="21"/>
        </w:rPr>
      </w:pPr>
      <w:r w:rsidRPr="00864038">
        <w:rPr>
          <w:rFonts w:eastAsia="IBM Plex Sans" w:cs="Arial"/>
          <w:color w:val="0D0D0D" w:themeColor="text1" w:themeTint="F2"/>
          <w:szCs w:val="21"/>
        </w:rPr>
        <w:t xml:space="preserve">To meet the Consortium’s expectations, IBM proposes a comprehensive and fully integrated QA organization that operates within the CalSAWS Consortium’s multi-vendor governance structure. Our staffing model clearly defines roles, responsibilities, and accountability across all QA functions, ensuring that every activity—from planning </w:t>
      </w:r>
      <w:r w:rsidRPr="00864038">
        <w:rPr>
          <w:rFonts w:eastAsia="IBM Plex Sans" w:cs="Arial"/>
          <w:color w:val="0D0D0D" w:themeColor="text1" w:themeTint="F2"/>
          <w:szCs w:val="21"/>
        </w:rPr>
        <w:lastRenderedPageBreak/>
        <w:t>through validation—remains transparent, traceable, and aligned to the Consortium’s oversight.</w:t>
      </w:r>
    </w:p>
    <w:p w14:paraId="332B175A" w14:textId="77777777" w:rsidR="005B6CE9" w:rsidRPr="00864038" w:rsidRDefault="005B6CE9" w:rsidP="001916D6">
      <w:pPr>
        <w:spacing w:before="0" w:after="0"/>
        <w:rPr>
          <w:rFonts w:eastAsia="IBM Plex Sans" w:cs="Arial"/>
          <w:color w:val="0D0D0D" w:themeColor="text1" w:themeTint="F2"/>
          <w:szCs w:val="21"/>
        </w:rPr>
      </w:pPr>
    </w:p>
    <w:p w14:paraId="32452C24" w14:textId="559B688F" w:rsidR="00864038" w:rsidRDefault="00864038" w:rsidP="001916D6">
      <w:pPr>
        <w:spacing w:before="0" w:after="0"/>
        <w:rPr>
          <w:rFonts w:eastAsia="IBM Plex Sans" w:cs="Arial"/>
          <w:color w:val="0D0D0D" w:themeColor="text1" w:themeTint="F2"/>
        </w:rPr>
      </w:pPr>
      <w:r w:rsidRPr="6C9F07E8">
        <w:rPr>
          <w:rFonts w:eastAsia="IBM Plex Sans" w:cs="Arial"/>
          <w:color w:val="0D0D0D" w:themeColor="text2" w:themeTint="F2"/>
        </w:rPr>
        <w:t xml:space="preserve">IBM’s organization is structured to directly align with CalSAWS governance and partner vendor roles, as illustrated in Figure </w:t>
      </w:r>
      <w:r w:rsidR="00513440" w:rsidRPr="6C9F07E8">
        <w:rPr>
          <w:rFonts w:eastAsia="IBM Plex Sans" w:cs="Arial"/>
          <w:color w:val="0D0D0D" w:themeColor="text2" w:themeTint="F2"/>
        </w:rPr>
        <w:t>3.1.1.6</w:t>
      </w:r>
      <w:r w:rsidRPr="6C9F07E8">
        <w:rPr>
          <w:rFonts w:eastAsia="IBM Plex Sans" w:cs="Arial"/>
          <w:color w:val="0D0D0D" w:themeColor="text2" w:themeTint="F2"/>
        </w:rPr>
        <w:t>: QA Services Team Org Chart.</w:t>
      </w:r>
      <w:r>
        <w:rPr>
          <w:rFonts w:eastAsia="IBM Plex Sans"/>
        </w:rPr>
        <w:br/>
      </w:r>
      <w:r w:rsidRPr="6C9F07E8">
        <w:rPr>
          <w:rFonts w:eastAsia="IBM Plex Sans" w:cs="Arial"/>
          <w:color w:val="0D0D0D" w:themeColor="text2" w:themeTint="F2"/>
        </w:rPr>
        <w:t>At the top, the CalSAWS Consortium Governance and Executive Oversight</w:t>
      </w:r>
      <w:r w:rsidR="5B40E248" w:rsidRPr="6C9F07E8">
        <w:rPr>
          <w:rFonts w:eastAsia="IBM Plex Sans" w:cs="Arial"/>
          <w:color w:val="0D0D0D" w:themeColor="text2" w:themeTint="F2"/>
        </w:rPr>
        <w:t>, and PSC</w:t>
      </w:r>
      <w:r w:rsidRPr="6C9F07E8">
        <w:rPr>
          <w:rFonts w:eastAsia="IBM Plex Sans" w:cs="Arial"/>
          <w:color w:val="0D0D0D" w:themeColor="text2" w:themeTint="F2"/>
        </w:rPr>
        <w:t xml:space="preserve"> provides direction and coordination across Deloitte, Gainwell, Accenture, and IBM. Within this structure, IBM’s QA Project Manager serves as the single accountable leader for all QA Services, coordinating with the Consortium Executive Director, PMO, and partner vendor</w:t>
      </w:r>
      <w:r w:rsidR="75684480" w:rsidRPr="6C9F07E8">
        <w:rPr>
          <w:rFonts w:eastAsia="IBM Plex Sans" w:cs="Arial"/>
          <w:color w:val="0D0D0D" w:themeColor="text2" w:themeTint="F2"/>
        </w:rPr>
        <w:t>s</w:t>
      </w:r>
      <w:r w:rsidRPr="6C9F07E8">
        <w:rPr>
          <w:rFonts w:eastAsia="IBM Plex Sans" w:cs="Arial"/>
          <w:color w:val="0D0D0D" w:themeColor="text2" w:themeTint="F2"/>
        </w:rPr>
        <w:t xml:space="preserve"> lead</w:t>
      </w:r>
      <w:r w:rsidR="0008AD21" w:rsidRPr="6C9F07E8">
        <w:rPr>
          <w:rFonts w:eastAsia="IBM Plex Sans" w:cs="Arial"/>
          <w:color w:val="0D0D0D" w:themeColor="text2" w:themeTint="F2"/>
        </w:rPr>
        <w:t>ing</w:t>
      </w:r>
      <w:r w:rsidRPr="6C9F07E8">
        <w:rPr>
          <w:rFonts w:eastAsia="IBM Plex Sans" w:cs="Arial"/>
          <w:color w:val="0D0D0D" w:themeColor="text2" w:themeTint="F2"/>
        </w:rPr>
        <w:t xml:space="preserve"> to ensure governance alignment and delivery integrity.</w:t>
      </w:r>
    </w:p>
    <w:p w14:paraId="71639F25" w14:textId="77777777" w:rsidR="001916D6" w:rsidRPr="00864038" w:rsidRDefault="001916D6" w:rsidP="001916D6">
      <w:pPr>
        <w:spacing w:before="0" w:after="0"/>
        <w:rPr>
          <w:rFonts w:eastAsia="IBM Plex Sans" w:cs="Arial"/>
          <w:color w:val="0D0D0D" w:themeColor="text1" w:themeTint="F2"/>
          <w:szCs w:val="21"/>
        </w:rPr>
      </w:pPr>
    </w:p>
    <w:p w14:paraId="22BB1FDF" w14:textId="77777777" w:rsidR="00864038" w:rsidRPr="00864038" w:rsidRDefault="00864038" w:rsidP="001916D6">
      <w:pPr>
        <w:spacing w:before="0" w:after="0"/>
        <w:rPr>
          <w:rFonts w:eastAsia="IBM Plex Sans" w:cs="Arial"/>
          <w:color w:val="0D0D0D" w:themeColor="text1" w:themeTint="F2"/>
          <w:szCs w:val="21"/>
        </w:rPr>
      </w:pPr>
      <w:r w:rsidRPr="00864038">
        <w:rPr>
          <w:rFonts w:eastAsia="IBM Plex Sans" w:cs="Arial"/>
          <w:color w:val="0D0D0D" w:themeColor="text1" w:themeTint="F2"/>
          <w:szCs w:val="21"/>
        </w:rPr>
        <w:t>Beneath this leadership tier, IBM’s QA Test Manager, QA Functional Manager, and QA Technical Manager lead specialized teams focused on their respective QA disciplines:</w:t>
      </w:r>
    </w:p>
    <w:p w14:paraId="7FC269BA" w14:textId="77777777" w:rsidR="00864038" w:rsidRPr="00864038" w:rsidRDefault="00864038" w:rsidP="001916D6">
      <w:pPr>
        <w:numPr>
          <w:ilvl w:val="0"/>
          <w:numId w:val="35"/>
        </w:numPr>
        <w:spacing w:before="0" w:after="0"/>
        <w:rPr>
          <w:rFonts w:eastAsia="IBM Plex Sans" w:cs="Arial"/>
          <w:color w:val="0D0D0D" w:themeColor="text1" w:themeTint="F2"/>
          <w:szCs w:val="21"/>
        </w:rPr>
      </w:pPr>
      <w:r w:rsidRPr="00864038">
        <w:rPr>
          <w:rFonts w:eastAsia="IBM Plex Sans" w:cs="Arial"/>
          <w:color w:val="0D0D0D" w:themeColor="text1" w:themeTint="F2"/>
          <w:szCs w:val="21"/>
        </w:rPr>
        <w:t>QA Test Manager – Oversees end-to-end testing execution, defect lifecycle management, and readiness reporting.</w:t>
      </w:r>
    </w:p>
    <w:p w14:paraId="605EFBDB" w14:textId="77777777" w:rsidR="00864038" w:rsidRPr="00864038" w:rsidRDefault="00864038" w:rsidP="001916D6">
      <w:pPr>
        <w:numPr>
          <w:ilvl w:val="0"/>
          <w:numId w:val="35"/>
        </w:numPr>
        <w:spacing w:before="0" w:after="0"/>
        <w:rPr>
          <w:rFonts w:eastAsia="IBM Plex Sans" w:cs="Arial"/>
          <w:color w:val="0D0D0D" w:themeColor="text1" w:themeTint="F2"/>
          <w:szCs w:val="21"/>
        </w:rPr>
      </w:pPr>
      <w:r w:rsidRPr="00864038">
        <w:rPr>
          <w:rFonts w:eastAsia="IBM Plex Sans" w:cs="Arial"/>
          <w:color w:val="0D0D0D" w:themeColor="text1" w:themeTint="F2"/>
          <w:szCs w:val="21"/>
        </w:rPr>
        <w:t>QA Functional Manager – Leads business workflow validation and requirements traceability aligned to county operations.</w:t>
      </w:r>
    </w:p>
    <w:p w14:paraId="36F0E0FE" w14:textId="77777777" w:rsidR="00864038" w:rsidRDefault="00864038" w:rsidP="001916D6">
      <w:pPr>
        <w:numPr>
          <w:ilvl w:val="0"/>
          <w:numId w:val="35"/>
        </w:numPr>
        <w:spacing w:before="0" w:after="0"/>
        <w:rPr>
          <w:rFonts w:eastAsia="IBM Plex Sans" w:cs="Arial"/>
          <w:color w:val="0D0D0D" w:themeColor="text1" w:themeTint="F2"/>
          <w:szCs w:val="21"/>
        </w:rPr>
      </w:pPr>
      <w:r w:rsidRPr="00864038">
        <w:rPr>
          <w:rFonts w:eastAsia="IBM Plex Sans" w:cs="Arial"/>
          <w:color w:val="0D0D0D" w:themeColor="text1" w:themeTint="F2"/>
          <w:szCs w:val="21"/>
        </w:rPr>
        <w:t>QA Technical Manager – Directs technical validation for integrations, APIs, performance, cloud infrastructure, and security.</w:t>
      </w:r>
    </w:p>
    <w:p w14:paraId="643ED735" w14:textId="77777777" w:rsidR="001916D6" w:rsidRPr="00864038" w:rsidRDefault="001916D6" w:rsidP="001916D6">
      <w:pPr>
        <w:spacing w:before="0" w:after="0"/>
        <w:ind w:left="360"/>
        <w:rPr>
          <w:rFonts w:eastAsia="IBM Plex Sans" w:cs="Arial"/>
          <w:color w:val="0D0D0D" w:themeColor="text1" w:themeTint="F2"/>
          <w:szCs w:val="21"/>
        </w:rPr>
      </w:pPr>
    </w:p>
    <w:p w14:paraId="51F44158" w14:textId="77777777" w:rsidR="00864038" w:rsidRPr="00864038" w:rsidRDefault="00864038" w:rsidP="001916D6">
      <w:pPr>
        <w:spacing w:before="0" w:after="0"/>
        <w:rPr>
          <w:rFonts w:eastAsia="IBM Plex Sans" w:cs="Arial"/>
          <w:color w:val="0D0D0D" w:themeColor="text1" w:themeTint="F2"/>
          <w:szCs w:val="21"/>
        </w:rPr>
      </w:pPr>
      <w:r w:rsidRPr="00864038">
        <w:rPr>
          <w:rFonts w:eastAsia="IBM Plex Sans" w:cs="Arial"/>
          <w:color w:val="0D0D0D" w:themeColor="text1" w:themeTint="F2"/>
          <w:szCs w:val="21"/>
        </w:rPr>
        <w:t>Each manager oversees domain-specific pods of QA specialists, including:</w:t>
      </w:r>
    </w:p>
    <w:p w14:paraId="227BBB57" w14:textId="77777777" w:rsidR="00864038" w:rsidRPr="00864038" w:rsidRDefault="00864038" w:rsidP="001916D6">
      <w:pPr>
        <w:numPr>
          <w:ilvl w:val="0"/>
          <w:numId w:val="36"/>
        </w:numPr>
        <w:spacing w:before="0" w:after="0"/>
        <w:rPr>
          <w:rFonts w:eastAsia="IBM Plex Sans" w:cs="Arial"/>
          <w:color w:val="0D0D0D" w:themeColor="text1" w:themeTint="F2"/>
          <w:szCs w:val="21"/>
        </w:rPr>
      </w:pPr>
      <w:r w:rsidRPr="00864038">
        <w:rPr>
          <w:rFonts w:eastAsia="IBM Plex Sans" w:cs="Arial"/>
          <w:color w:val="0D0D0D" w:themeColor="text1" w:themeTint="F2"/>
          <w:szCs w:val="21"/>
        </w:rPr>
        <w:t>Functional &amp; Automation Testers – Supporting regression, UAT, and CI/CD-driven automation.</w:t>
      </w:r>
    </w:p>
    <w:p w14:paraId="7FCEC16F" w14:textId="77777777" w:rsidR="00864038" w:rsidRPr="00864038" w:rsidRDefault="00864038" w:rsidP="001916D6">
      <w:pPr>
        <w:numPr>
          <w:ilvl w:val="0"/>
          <w:numId w:val="36"/>
        </w:numPr>
        <w:spacing w:before="0" w:after="0"/>
        <w:rPr>
          <w:rFonts w:eastAsia="IBM Plex Sans" w:cs="Arial"/>
          <w:color w:val="0D0D0D" w:themeColor="text1" w:themeTint="F2"/>
          <w:szCs w:val="21"/>
        </w:rPr>
      </w:pPr>
      <w:r w:rsidRPr="00864038">
        <w:rPr>
          <w:rFonts w:eastAsia="IBM Plex Sans" w:cs="Arial"/>
          <w:color w:val="0D0D0D" w:themeColor="text1" w:themeTint="F2"/>
          <w:szCs w:val="21"/>
        </w:rPr>
        <w:t>Functional SMEs / Business Analysts – Maintaining traceability, reviewing change requests, and coordinating with county users.</w:t>
      </w:r>
    </w:p>
    <w:p w14:paraId="39DFAE72" w14:textId="77777777" w:rsidR="00864038" w:rsidRPr="00864038" w:rsidRDefault="00864038" w:rsidP="001916D6">
      <w:pPr>
        <w:numPr>
          <w:ilvl w:val="0"/>
          <w:numId w:val="36"/>
        </w:numPr>
        <w:spacing w:before="0" w:after="0"/>
        <w:rPr>
          <w:rFonts w:eastAsia="IBM Plex Sans" w:cs="Arial"/>
          <w:color w:val="0D0D0D" w:themeColor="text1" w:themeTint="F2"/>
        </w:rPr>
      </w:pPr>
      <w:r w:rsidRPr="6C9F07E8">
        <w:rPr>
          <w:rFonts w:eastAsia="IBM Plex Sans" w:cs="Arial"/>
          <w:color w:val="0D0D0D" w:themeColor="text2" w:themeTint="F2"/>
        </w:rPr>
        <w:t>Technical SMEs (Cloud, Performance, Security, DevSecOps) – Driving infrastructure, scalability, and compliance testing.</w:t>
      </w:r>
    </w:p>
    <w:p w14:paraId="24FF64EB" w14:textId="07E8458E" w:rsidR="6C9F07E8" w:rsidRDefault="6C9F07E8" w:rsidP="6C9F07E8">
      <w:pPr>
        <w:spacing w:before="0" w:after="0"/>
        <w:ind w:left="720"/>
        <w:rPr>
          <w:rFonts w:eastAsia="IBM Plex Sans" w:cs="Arial"/>
          <w:color w:val="0D0D0D" w:themeColor="text2" w:themeTint="F2"/>
        </w:rPr>
      </w:pPr>
    </w:p>
    <w:p w14:paraId="0050A0CF" w14:textId="26BC87B7" w:rsidR="00602BCB" w:rsidRPr="00864038" w:rsidRDefault="00864038" w:rsidP="001916D6">
      <w:pPr>
        <w:spacing w:before="0" w:after="0"/>
        <w:rPr>
          <w:rFonts w:eastAsia="IBM Plex Sans" w:cs="Arial"/>
          <w:color w:val="0D0D0D" w:themeColor="text1" w:themeTint="F2"/>
          <w:szCs w:val="21"/>
        </w:rPr>
      </w:pPr>
      <w:r w:rsidRPr="00864038">
        <w:rPr>
          <w:rFonts w:eastAsia="IBM Plex Sans" w:cs="Arial"/>
          <w:color w:val="0D0D0D" w:themeColor="text1" w:themeTint="F2"/>
          <w:szCs w:val="21"/>
        </w:rPr>
        <w:t>This organizational construct ensures end-to-end coverage across functional, automation, and technical dimensions—while maintaining full alignment with the Consortium’s QA roles and responsibilities framework. Every IBM QA function maps to the corresponding Consortium QA function (e.g., Project Management, Defect Management, Configuration Management, Architecture Management, Operations, and Security) to ensure no duplication, no gaps, and shared accountability across all QA outcomes</w:t>
      </w:r>
      <w:r w:rsidR="00602BCB" w:rsidRPr="00864038">
        <w:rPr>
          <w:rFonts w:eastAsia="IBM Plex Sans" w:cs="Arial"/>
          <w:color w:val="0D0D0D" w:themeColor="text1" w:themeTint="F2"/>
          <w:szCs w:val="21"/>
        </w:rPr>
        <w:t>.</w:t>
      </w:r>
    </w:p>
    <w:p w14:paraId="1D1C3151" w14:textId="77777777" w:rsidR="00570880" w:rsidRDefault="00AE7954" w:rsidP="00570880">
      <w:pPr>
        <w:pStyle w:val="CS-IBMResponseText"/>
        <w:keepNext/>
        <w:jc w:val="center"/>
      </w:pPr>
      <w:r w:rsidRPr="00AE7954">
        <w:rPr>
          <w:noProof/>
        </w:rPr>
        <w:lastRenderedPageBreak/>
        <w:drawing>
          <wp:inline distT="0" distB="0" distL="0" distR="0" wp14:anchorId="4D7B0BCC" wp14:editId="239F38A8">
            <wp:extent cx="4572000" cy="3429000"/>
            <wp:effectExtent l="0" t="0" r="0" b="0"/>
            <wp:docPr id="342421848" name="Picture 1" descr="A diagram of a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21848" name="Picture 1" descr="A diagram of a company's company&#10;&#10;AI-generated content may be incorrect."/>
                    <pic:cNvPicPr/>
                  </pic:nvPicPr>
                  <pic:blipFill>
                    <a:blip r:embed="rId18"/>
                    <a:stretch>
                      <a:fillRect/>
                    </a:stretch>
                  </pic:blipFill>
                  <pic:spPr>
                    <a:xfrm>
                      <a:off x="0" y="0"/>
                      <a:ext cx="4572000" cy="3429000"/>
                    </a:xfrm>
                    <a:prstGeom prst="rect">
                      <a:avLst/>
                    </a:prstGeom>
                  </pic:spPr>
                </pic:pic>
              </a:graphicData>
            </a:graphic>
          </wp:inline>
        </w:drawing>
      </w:r>
    </w:p>
    <w:p w14:paraId="3C37A2AF" w14:textId="507D7616" w:rsidR="00D82982" w:rsidRDefault="00570880" w:rsidP="00570880">
      <w:pPr>
        <w:pStyle w:val="Caption"/>
        <w:jc w:val="center"/>
      </w:pPr>
      <w:bookmarkStart w:id="29" w:name="_Toc213064435"/>
      <w:r>
        <w:t xml:space="preserve">Figure 3.1.1 </w:t>
      </w:r>
      <w:r>
        <w:fldChar w:fldCharType="begin"/>
      </w:r>
      <w:r>
        <w:instrText xml:space="preserve"> SEQ Figure_3.1.1 \* ARABIC </w:instrText>
      </w:r>
      <w:r>
        <w:fldChar w:fldCharType="separate"/>
      </w:r>
      <w:r>
        <w:rPr>
          <w:noProof/>
        </w:rPr>
        <w:t>6</w:t>
      </w:r>
      <w:r>
        <w:fldChar w:fldCharType="end"/>
      </w:r>
      <w:r>
        <w:t xml:space="preserve"> QA Services Team Org Chart</w:t>
      </w:r>
      <w:bookmarkEnd w:id="29"/>
    </w:p>
    <w:p w14:paraId="1A3C93C0" w14:textId="77777777" w:rsidR="00602BCB" w:rsidRPr="00DA0139" w:rsidRDefault="00602BCB" w:rsidP="00D526CA">
      <w:pPr>
        <w:pStyle w:val="CS-IBMResponseText"/>
        <w:rPr>
          <w:rFonts w:eastAsia="IBM Plex Sans"/>
        </w:rPr>
      </w:pPr>
      <w:r w:rsidRPr="00DA0139">
        <w:rPr>
          <w:rFonts w:eastAsia="IBM Plex Sans"/>
        </w:rPr>
        <w:t>The following table maps each proposed QA role to:</w:t>
      </w:r>
    </w:p>
    <w:p w14:paraId="20FCF8CE" w14:textId="77777777" w:rsidR="00602BCB" w:rsidRPr="00DA0139" w:rsidRDefault="00602BCB" w:rsidP="00556BA6">
      <w:pPr>
        <w:pStyle w:val="CS-IBMBullet1"/>
        <w:rPr>
          <w:rFonts w:eastAsia="IBM Plex Sans"/>
        </w:rPr>
      </w:pPr>
      <w:r w:rsidRPr="00556BA6">
        <w:rPr>
          <w:rFonts w:eastAsia="IBM Plex Sans"/>
          <w:b/>
          <w:bCs/>
        </w:rPr>
        <w:t xml:space="preserve">Key Responsibilities </w:t>
      </w:r>
      <w:r w:rsidRPr="00DA0139">
        <w:rPr>
          <w:rFonts w:eastAsia="IBM Plex Sans"/>
        </w:rPr>
        <w:t>– What the role delivers day-to-day and during critical release cycles.</w:t>
      </w:r>
    </w:p>
    <w:p w14:paraId="23E1B853" w14:textId="06333A60" w:rsidR="00602BCB" w:rsidRDefault="00EF6DEB" w:rsidP="00556BA6">
      <w:pPr>
        <w:pStyle w:val="CS-IBMBullet1"/>
        <w:rPr>
          <w:rFonts w:eastAsia="IBM Plex Sans"/>
        </w:rPr>
      </w:pPr>
      <w:r>
        <w:rPr>
          <w:rFonts w:eastAsia="IBM Plex Sans"/>
          <w:noProof/>
          <w:color w:val="0D0D0D" w:themeColor="text1" w:themeTint="F2"/>
        </w:rPr>
        <mc:AlternateContent>
          <mc:Choice Requires="wps">
            <w:drawing>
              <wp:anchor distT="0" distB="0" distL="114300" distR="114300" simplePos="0" relativeHeight="251658252" behindDoc="0" locked="0" layoutInCell="1" allowOverlap="1" wp14:anchorId="24B4334F" wp14:editId="34CA44B7">
                <wp:simplePos x="0" y="0"/>
                <wp:positionH relativeFrom="column">
                  <wp:posOffset>-635</wp:posOffset>
                </wp:positionH>
                <wp:positionV relativeFrom="paragraph">
                  <wp:posOffset>718185</wp:posOffset>
                </wp:positionV>
                <wp:extent cx="5935345" cy="1802765"/>
                <wp:effectExtent l="12700" t="12700" r="8255" b="13335"/>
                <wp:wrapTopAndBottom/>
                <wp:docPr id="885626807" name="Text Box 29"/>
                <wp:cNvGraphicFramePr/>
                <a:graphic xmlns:a="http://schemas.openxmlformats.org/drawingml/2006/main">
                  <a:graphicData uri="http://schemas.microsoft.com/office/word/2010/wordprocessingShape">
                    <wps:wsp>
                      <wps:cNvSpPr txBox="1"/>
                      <wps:spPr>
                        <a:xfrm>
                          <a:off x="0" y="0"/>
                          <a:ext cx="5935345" cy="1802765"/>
                        </a:xfrm>
                        <a:prstGeom prst="rect">
                          <a:avLst/>
                        </a:prstGeom>
                        <a:solidFill>
                          <a:schemeClr val="bg1"/>
                        </a:solidFill>
                        <a:ln w="28575">
                          <a:solidFill>
                            <a:srgbClr val="006699"/>
                          </a:solidFill>
                        </a:ln>
                      </wps:spPr>
                      <wps:txbx>
                        <w:txbxContent>
                          <w:p w14:paraId="4A28C774" w14:textId="77777777" w:rsidR="00EF6DEB" w:rsidRPr="00320C75" w:rsidRDefault="00EF6DEB" w:rsidP="00EF6DEB">
                            <w:pPr>
                              <w:pStyle w:val="CS-IBMResponseText"/>
                              <w:rPr>
                                <w:rFonts w:eastAsia="IBM Plex Sans"/>
                                <w:b/>
                              </w:rPr>
                            </w:pPr>
                            <w:r w:rsidRPr="00320C75">
                              <w:rPr>
                                <w:rFonts w:eastAsia="IBM Plex Sans"/>
                                <w:b/>
                              </w:rPr>
                              <w:t>This structure ensures:</w:t>
                            </w:r>
                          </w:p>
                          <w:p w14:paraId="1978990B" w14:textId="77777777" w:rsidR="00EF6DEB" w:rsidRPr="00DA0139" w:rsidRDefault="00EF6DEB" w:rsidP="00EF6DEB">
                            <w:pPr>
                              <w:pStyle w:val="CS-IBMBullet1"/>
                              <w:rPr>
                                <w:rFonts w:eastAsia="IBM Plex Sans"/>
                              </w:rPr>
                            </w:pPr>
                            <w:r w:rsidRPr="00DA0139">
                              <w:rPr>
                                <w:rFonts w:eastAsia="IBM Plex Sans"/>
                              </w:rPr>
                              <w:t>Clear ownership and accountability</w:t>
                            </w:r>
                          </w:p>
                          <w:p w14:paraId="4293F4B1" w14:textId="77777777" w:rsidR="00EF6DEB" w:rsidRPr="00DA0139" w:rsidRDefault="00EF6DEB" w:rsidP="00EF6DEB">
                            <w:pPr>
                              <w:pStyle w:val="CS-IBMBullet1"/>
                              <w:rPr>
                                <w:rFonts w:eastAsia="IBM Plex Sans"/>
                              </w:rPr>
                            </w:pPr>
                            <w:r w:rsidRPr="00DA0139">
                              <w:rPr>
                                <w:rFonts w:eastAsia="IBM Plex Sans"/>
                              </w:rPr>
                              <w:t>Seamless integration across vendors and governance forums</w:t>
                            </w:r>
                          </w:p>
                          <w:p w14:paraId="411EFEE5" w14:textId="77777777" w:rsidR="00EF6DEB" w:rsidRPr="00DA0139" w:rsidRDefault="00EF6DEB" w:rsidP="00EF6DEB">
                            <w:pPr>
                              <w:pStyle w:val="CS-IBMBullet1"/>
                              <w:rPr>
                                <w:rFonts w:eastAsia="IBM Plex Sans"/>
                              </w:rPr>
                            </w:pPr>
                            <w:r w:rsidRPr="00DA0139">
                              <w:rPr>
                                <w:rFonts w:eastAsia="IBM Plex Sans"/>
                              </w:rPr>
                              <w:t>Alignment with CalSAWS mission, county workflows, and end-user needs</w:t>
                            </w:r>
                          </w:p>
                          <w:p w14:paraId="5D2573CD" w14:textId="77777777" w:rsidR="00EF6DEB" w:rsidRPr="00DA0139" w:rsidRDefault="00EF6DEB" w:rsidP="00EF6DEB">
                            <w:pPr>
                              <w:pStyle w:val="CS-IBMBullet1"/>
                              <w:rPr>
                                <w:rFonts w:eastAsia="IBM Plex Sans"/>
                              </w:rPr>
                            </w:pPr>
                            <w:r w:rsidRPr="00DA0139">
                              <w:rPr>
                                <w:rFonts w:eastAsia="IBM Plex Sans"/>
                              </w:rPr>
                              <w:t>Ability to scale resources and expertise based on project demands</w:t>
                            </w:r>
                          </w:p>
                          <w:p w14:paraId="00D86CCC" w14:textId="4A5AD8AF" w:rsidR="00EF6DEB" w:rsidRDefault="00EF6DEB" w:rsidP="00EF6DEB">
                            <w:pPr>
                              <w:pStyle w:val="CS-IBMBullet1"/>
                              <w:rPr>
                                <w:rFonts w:eastAsia="IBM Plex Sans"/>
                              </w:rPr>
                            </w:pPr>
                            <w:r w:rsidRPr="00DA0139">
                              <w:rPr>
                                <w:rFonts w:eastAsia="IBM Plex Sans"/>
                              </w:rPr>
                              <w:t>A future-ready QA organization incorporating automation, AI, and DevSecOps</w:t>
                            </w:r>
                          </w:p>
                          <w:p w14:paraId="5995AAE4" w14:textId="77777777" w:rsidR="00EF6DEB" w:rsidRPr="00CB6778" w:rsidRDefault="00EF6DEB" w:rsidP="00EF6DEB">
                            <w:pPr>
                              <w:jc w:val="center"/>
                            </w:pPr>
                          </w:p>
                        </w:txbxContent>
                      </wps:txbx>
                      <wps:bodyPr rot="0" spcFirstLastPara="0" vertOverflow="overflow" horzOverflow="overflow" vert="horz" wrap="square" lIns="182880" tIns="91440" rIns="18288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4334F" id="_x0000_s1054" type="#_x0000_t202" style="position:absolute;left:0;text-align:left;margin-left:-.05pt;margin-top:56.55pt;width:467.35pt;height:141.9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" fillcolor="white [3212]" strokecolor="#069" strokeweight="2.25pt">
                <v:textbox inset="14.4pt,7.2pt,14.4pt,7.2pt">
                  <w:txbxContent>
                    <w:p w14:paraId="4A28C774" w14:textId="77777777" w:rsidR="00EF6DEB" w:rsidRPr="00320C75" w:rsidRDefault="00EF6DEB" w:rsidP="00EF6DEB">
                      <w:pPr>
                        <w:pStyle w:val="CS-IBMResponseText"/>
                        <w:rPr>
                          <w:rFonts w:eastAsia="IBM Plex Sans"/>
                          <w:b/>
                        </w:rPr>
                      </w:pPr>
                      <w:r w:rsidRPr="00320C75">
                        <w:rPr>
                          <w:rFonts w:eastAsia="IBM Plex Sans"/>
                          <w:b/>
                        </w:rPr>
                        <w:t>This structure ensures:</w:t>
                      </w:r>
                    </w:p>
                    <w:p w14:paraId="1978990B" w14:textId="77777777" w:rsidR="00EF6DEB" w:rsidRPr="00DA0139" w:rsidRDefault="00EF6DEB" w:rsidP="00EF6DEB">
                      <w:pPr>
                        <w:pStyle w:val="CS-IBMBullet1"/>
                        <w:rPr>
                          <w:rFonts w:eastAsia="IBM Plex Sans"/>
                        </w:rPr>
                      </w:pPr>
                      <w:r w:rsidRPr="00DA0139">
                        <w:rPr>
                          <w:rFonts w:eastAsia="IBM Plex Sans"/>
                        </w:rPr>
                        <w:t>Clear ownership and accountability</w:t>
                      </w:r>
                    </w:p>
                    <w:p w14:paraId="4293F4B1" w14:textId="77777777" w:rsidR="00EF6DEB" w:rsidRPr="00DA0139" w:rsidRDefault="00EF6DEB" w:rsidP="00EF6DEB">
                      <w:pPr>
                        <w:pStyle w:val="CS-IBMBullet1"/>
                        <w:rPr>
                          <w:rFonts w:eastAsia="IBM Plex Sans"/>
                        </w:rPr>
                      </w:pPr>
                      <w:r w:rsidRPr="00DA0139">
                        <w:rPr>
                          <w:rFonts w:eastAsia="IBM Plex Sans"/>
                        </w:rPr>
                        <w:t>Seamless integration across vendors and governance forums</w:t>
                      </w:r>
                    </w:p>
                    <w:p w14:paraId="411EFEE5" w14:textId="77777777" w:rsidR="00EF6DEB" w:rsidRPr="00DA0139" w:rsidRDefault="00EF6DEB" w:rsidP="00EF6DEB">
                      <w:pPr>
                        <w:pStyle w:val="CS-IBMBullet1"/>
                        <w:rPr>
                          <w:rFonts w:eastAsia="IBM Plex Sans"/>
                        </w:rPr>
                      </w:pPr>
                      <w:r w:rsidRPr="00DA0139">
                        <w:rPr>
                          <w:rFonts w:eastAsia="IBM Plex Sans"/>
                        </w:rPr>
                        <w:t>Alignment with CalSAWS mission, county workflows, and end-user needs</w:t>
                      </w:r>
                    </w:p>
                    <w:p w14:paraId="5D2573CD" w14:textId="77777777" w:rsidR="00EF6DEB" w:rsidRPr="00DA0139" w:rsidRDefault="00EF6DEB" w:rsidP="00EF6DEB">
                      <w:pPr>
                        <w:pStyle w:val="CS-IBMBullet1"/>
                        <w:rPr>
                          <w:rFonts w:eastAsia="IBM Plex Sans"/>
                        </w:rPr>
                      </w:pPr>
                      <w:r w:rsidRPr="00DA0139">
                        <w:rPr>
                          <w:rFonts w:eastAsia="IBM Plex Sans"/>
                        </w:rPr>
                        <w:t>Ability to scale resources and expertise based on project demands</w:t>
                      </w:r>
                    </w:p>
                    <w:p w14:paraId="00D86CCC" w14:textId="4A5AD8AF" w:rsidR="00EF6DEB" w:rsidRDefault="00EF6DEB" w:rsidP="00EF6DEB">
                      <w:pPr>
                        <w:pStyle w:val="CS-IBMBullet1"/>
                        <w:rPr>
                          <w:rFonts w:eastAsia="IBM Plex Sans"/>
                        </w:rPr>
                      </w:pPr>
                      <w:r w:rsidRPr="00DA0139">
                        <w:rPr>
                          <w:rFonts w:eastAsia="IBM Plex Sans"/>
                        </w:rPr>
                        <w:t>A future-ready QA organization incorporating automation, AI, and DevSecOps</w:t>
                      </w:r>
                      <w:r w:rsidRPr="00DA0139">
                        <w:rPr>
                          <w:rStyle w:val="CommentReference"/>
                          <w:rFonts w:eastAsia="IBM Plex Sans"/>
                          <w:sz w:val="22"/>
                          <w:szCs w:val="21"/>
                        </w:rPr>
                        <w:t/>
                      </w:r>
                    </w:p>
                    <w:p w14:paraId="5995AAE4" w14:textId="77777777" w:rsidR="00EF6DEB" w:rsidRPr="00CB6778" w:rsidRDefault="00EF6DEB" w:rsidP="00EF6DEB">
                      <w:pPr>
                        <w:jc w:val="center"/>
                      </w:pPr>
                    </w:p>
                  </w:txbxContent>
                </v:textbox>
                <w10:wrap type="topAndBottom"/>
              </v:shape>
            </w:pict>
          </mc:Fallback>
        </mc:AlternateContent>
      </w:r>
      <w:r w:rsidR="00602BCB" w:rsidRPr="00556BA6">
        <w:rPr>
          <w:rFonts w:eastAsia="IBM Plex Sans"/>
          <w:b/>
          <w:bCs/>
        </w:rPr>
        <w:t>Alignment to Consortium QA Functions</w:t>
      </w:r>
      <w:r w:rsidR="00602BCB" w:rsidRPr="00DA0139">
        <w:rPr>
          <w:rFonts w:eastAsia="IBM Plex Sans"/>
        </w:rPr>
        <w:t xml:space="preserve"> – How the role supports the specific QA responsibilities required by the Consortium (e.g., Defect Management, Configuration Management, Architecture Management, Operations, Security, etc.).</w:t>
      </w:r>
    </w:p>
    <w:p w14:paraId="1A0E0926" w14:textId="2D9661FF" w:rsidR="00602BCB" w:rsidRPr="009439E6" w:rsidRDefault="00602BCB" w:rsidP="00D526CA">
      <w:pPr>
        <w:pStyle w:val="CS-IBMResponseText"/>
        <w:rPr>
          <w:b/>
          <w:color w:val="0070C0"/>
        </w:rPr>
      </w:pPr>
      <w:bookmarkStart w:id="30" w:name="_Toc211641131"/>
      <w:r w:rsidRPr="009439E6">
        <w:rPr>
          <w:b/>
          <w:color w:val="0070C0"/>
        </w:rPr>
        <w:t>QA Roles and Responsibilities</w:t>
      </w:r>
      <w:bookmarkEnd w:id="30"/>
    </w:p>
    <w:p w14:paraId="2539DACA" w14:textId="72EC7C51" w:rsidR="00570880" w:rsidRDefault="00570880" w:rsidP="00570880">
      <w:pPr>
        <w:pStyle w:val="Caption"/>
        <w:keepNext/>
        <w:jc w:val="center"/>
      </w:pPr>
      <w:bookmarkStart w:id="31" w:name="_Toc213064570"/>
      <w:r>
        <w:t xml:space="preserve">Table 3.1.1. </w:t>
      </w:r>
      <w:r>
        <w:fldChar w:fldCharType="begin"/>
      </w:r>
      <w:r>
        <w:instrText xml:space="preserve"> SEQ Table_3.1.1. \* ARABIC </w:instrText>
      </w:r>
      <w:r>
        <w:fldChar w:fldCharType="separate"/>
      </w:r>
      <w:r>
        <w:rPr>
          <w:noProof/>
        </w:rPr>
        <w:t>3</w:t>
      </w:r>
      <w:r>
        <w:fldChar w:fldCharType="end"/>
      </w:r>
      <w:r>
        <w:t xml:space="preserve"> QA Roles and Responsibilities</w:t>
      </w:r>
      <w:bookmarkEnd w:id="31"/>
    </w:p>
    <w:tbl>
      <w:tblPr>
        <w:tblStyle w:val="BasicTable"/>
        <w:tblW w:w="5000" w:type="pct"/>
        <w:tblInd w:w="-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5" w:type="dxa"/>
          <w:left w:w="15" w:type="dxa"/>
          <w:bottom w:w="15" w:type="dxa"/>
          <w:right w:w="15" w:type="dxa"/>
        </w:tblCellMar>
        <w:tblLook w:val="04A0" w:firstRow="1" w:lastRow="0" w:firstColumn="1" w:lastColumn="0" w:noHBand="0" w:noVBand="1"/>
      </w:tblPr>
      <w:tblGrid>
        <w:gridCol w:w="1808"/>
        <w:gridCol w:w="3934"/>
        <w:gridCol w:w="3612"/>
      </w:tblGrid>
      <w:tr w:rsidR="00A21F43" w:rsidRPr="001446FC" w14:paraId="09BF2DC6" w14:textId="77777777" w:rsidTr="00120AD1">
        <w:trPr>
          <w:cnfStyle w:val="100000000000" w:firstRow="1" w:lastRow="0" w:firstColumn="0" w:lastColumn="0" w:oddVBand="0" w:evenVBand="0" w:oddHBand="0" w:evenHBand="0" w:firstRowFirstColumn="0" w:firstRowLastColumn="0" w:lastRowFirstColumn="0" w:lastRowLastColumn="0"/>
          <w:trHeight w:val="20"/>
          <w:tblHeader/>
        </w:trPr>
        <w:tc>
          <w:tcPr>
            <w:tcW w:w="855" w:type="pct"/>
            <w:shd w:val="clear" w:color="auto" w:fill="0070C0"/>
            <w:hideMark/>
          </w:tcPr>
          <w:p w14:paraId="2781A3EA" w14:textId="77777777" w:rsidR="00602BCB" w:rsidRPr="00120AD1" w:rsidRDefault="00602BCB" w:rsidP="00120AD1">
            <w:pPr>
              <w:pStyle w:val="CS-IBMTableColumnHeader"/>
              <w:jc w:val="left"/>
              <w:rPr>
                <w:b/>
              </w:rPr>
            </w:pPr>
            <w:r w:rsidRPr="00120AD1">
              <w:rPr>
                <w:b/>
              </w:rPr>
              <w:t>Role</w:t>
            </w:r>
          </w:p>
        </w:tc>
        <w:tc>
          <w:tcPr>
            <w:tcW w:w="2129" w:type="pct"/>
            <w:shd w:val="clear" w:color="auto" w:fill="0070C0"/>
            <w:hideMark/>
          </w:tcPr>
          <w:p w14:paraId="337A08D2" w14:textId="77777777" w:rsidR="00602BCB" w:rsidRPr="00120AD1" w:rsidRDefault="00602BCB" w:rsidP="00120AD1">
            <w:pPr>
              <w:pStyle w:val="CS-IBMTableColumnHeader"/>
              <w:jc w:val="left"/>
              <w:rPr>
                <w:b/>
              </w:rPr>
            </w:pPr>
            <w:r w:rsidRPr="00120AD1">
              <w:rPr>
                <w:b/>
              </w:rPr>
              <w:t>Key Responsibilities</w:t>
            </w:r>
          </w:p>
        </w:tc>
        <w:tc>
          <w:tcPr>
            <w:tcW w:w="1959" w:type="pct"/>
            <w:shd w:val="clear" w:color="auto" w:fill="0070C0"/>
            <w:hideMark/>
          </w:tcPr>
          <w:p w14:paraId="6BB13EB2" w14:textId="5C017FFF" w:rsidR="00602BCB" w:rsidRPr="00120AD1" w:rsidRDefault="00602BCB" w:rsidP="00120AD1">
            <w:pPr>
              <w:pStyle w:val="CS-IBMTableColumnHeader"/>
              <w:jc w:val="left"/>
              <w:rPr>
                <w:b/>
              </w:rPr>
            </w:pPr>
            <w:r w:rsidRPr="00120AD1">
              <w:rPr>
                <w:b/>
              </w:rPr>
              <w:t xml:space="preserve">Alignment to Consortium’s QA Roles </w:t>
            </w:r>
          </w:p>
        </w:tc>
      </w:tr>
      <w:tr w:rsidR="00212026" w:rsidRPr="001446FC" w14:paraId="5E37430D" w14:textId="77777777" w:rsidTr="00212026">
        <w:trPr>
          <w:trHeight w:val="20"/>
        </w:trPr>
        <w:tc>
          <w:tcPr>
            <w:tcW w:w="855" w:type="pct"/>
            <w:hideMark/>
          </w:tcPr>
          <w:p w14:paraId="064BC931" w14:textId="77777777" w:rsidR="00602BCB" w:rsidRPr="00F5503B" w:rsidRDefault="00602BCB" w:rsidP="000530FC">
            <w:pPr>
              <w:pStyle w:val="CS-IBMTableText"/>
              <w:rPr>
                <w:b/>
                <w:bCs/>
              </w:rPr>
            </w:pPr>
            <w:r w:rsidRPr="00F5503B">
              <w:rPr>
                <w:b/>
                <w:bCs/>
              </w:rPr>
              <w:t xml:space="preserve">QA Project </w:t>
            </w:r>
            <w:r w:rsidRPr="00F5503B">
              <w:rPr>
                <w:b/>
                <w:bCs/>
              </w:rPr>
              <w:lastRenderedPageBreak/>
              <w:t>Manager</w:t>
            </w:r>
          </w:p>
        </w:tc>
        <w:tc>
          <w:tcPr>
            <w:tcW w:w="2129" w:type="pct"/>
          </w:tcPr>
          <w:p w14:paraId="2E1ADA1E" w14:textId="6ECF3048" w:rsidR="00212026" w:rsidRDefault="00212026" w:rsidP="00212026">
            <w:pPr>
              <w:pStyle w:val="CS-IBMTableBullet"/>
            </w:pPr>
            <w:r>
              <w:lastRenderedPageBreak/>
              <w:t xml:space="preserve">Oversee delivery of all QA </w:t>
            </w:r>
            <w:r>
              <w:lastRenderedPageBreak/>
              <w:t>services</w:t>
            </w:r>
          </w:p>
          <w:p w14:paraId="572E8B78" w14:textId="414DB360" w:rsidR="00212026" w:rsidRDefault="00212026" w:rsidP="00212026">
            <w:pPr>
              <w:pStyle w:val="CS-IBMTableBullet"/>
            </w:pPr>
            <w:r>
              <w:t>Manage QA financials, staffing, and schedules</w:t>
            </w:r>
          </w:p>
          <w:p w14:paraId="2FA94D17" w14:textId="30FD9F8E" w:rsidR="00212026" w:rsidRDefault="00212026" w:rsidP="00212026">
            <w:pPr>
              <w:pStyle w:val="CS-IBMTableBullet"/>
            </w:pPr>
            <w:r>
              <w:t>Provide QA reporting to Consortium leadership</w:t>
            </w:r>
          </w:p>
          <w:p w14:paraId="2472227C" w14:textId="5E35D809" w:rsidR="00602BCB" w:rsidRPr="00DA0139" w:rsidRDefault="00212026" w:rsidP="00212026">
            <w:pPr>
              <w:pStyle w:val="CS-IBMTableBullet"/>
            </w:pPr>
            <w:r>
              <w:t>Represent QA in governance forums and cross-vendor collaboration</w:t>
            </w:r>
          </w:p>
        </w:tc>
        <w:tc>
          <w:tcPr>
            <w:tcW w:w="1959" w:type="pct"/>
            <w:hideMark/>
          </w:tcPr>
          <w:p w14:paraId="49A1C60A" w14:textId="77777777" w:rsidR="00602BCB" w:rsidRPr="00DA0139" w:rsidRDefault="00602BCB" w:rsidP="000530FC">
            <w:pPr>
              <w:pStyle w:val="CS-IBMTableText"/>
            </w:pPr>
            <w:r w:rsidRPr="00DA0139">
              <w:lastRenderedPageBreak/>
              <w:t xml:space="preserve">Project Management: Oversee </w:t>
            </w:r>
            <w:r w:rsidRPr="00DA0139">
              <w:lastRenderedPageBreak/>
              <w:t>QA services, manage QA Agreement/financials, reporting, participate in UCD &amp; collaboration models</w:t>
            </w:r>
          </w:p>
        </w:tc>
      </w:tr>
      <w:tr w:rsidR="00212026" w:rsidRPr="001446FC" w14:paraId="45C5B4B6" w14:textId="77777777" w:rsidTr="00E600DA">
        <w:trPr>
          <w:trHeight w:val="20"/>
        </w:trPr>
        <w:tc>
          <w:tcPr>
            <w:tcW w:w="855" w:type="pct"/>
            <w:hideMark/>
          </w:tcPr>
          <w:p w14:paraId="09142643" w14:textId="77777777" w:rsidR="00602BCB" w:rsidRPr="00F5503B" w:rsidRDefault="00602BCB" w:rsidP="000530FC">
            <w:pPr>
              <w:pStyle w:val="CS-IBMTableText"/>
              <w:rPr>
                <w:b/>
                <w:bCs/>
              </w:rPr>
            </w:pPr>
            <w:r w:rsidRPr="00F5503B">
              <w:rPr>
                <w:b/>
                <w:bCs/>
              </w:rPr>
              <w:lastRenderedPageBreak/>
              <w:t>QA Test Manager</w:t>
            </w:r>
          </w:p>
        </w:tc>
        <w:tc>
          <w:tcPr>
            <w:tcW w:w="2129" w:type="pct"/>
          </w:tcPr>
          <w:p w14:paraId="76F3AF4C" w14:textId="684877F3" w:rsidR="00E600DA" w:rsidRDefault="00E600DA" w:rsidP="00E600DA">
            <w:pPr>
              <w:pStyle w:val="CS-IBMTableBullet"/>
            </w:pPr>
            <w:r>
              <w:t>Define test strategy and execution plans</w:t>
            </w:r>
          </w:p>
          <w:p w14:paraId="7D98E50D" w14:textId="7BBD2F48" w:rsidR="00E600DA" w:rsidRDefault="00E600DA" w:rsidP="00E600DA">
            <w:pPr>
              <w:pStyle w:val="CS-IBMTableBullet"/>
            </w:pPr>
            <w:r>
              <w:t>Manage defect lifecycle across vendors</w:t>
            </w:r>
          </w:p>
          <w:p w14:paraId="6D981A08" w14:textId="60849252" w:rsidR="00E600DA" w:rsidRDefault="00E600DA" w:rsidP="00E600DA">
            <w:pPr>
              <w:pStyle w:val="CS-IBMTableBullet"/>
            </w:pPr>
            <w:r>
              <w:t>Monitor release readiness and retrospectives</w:t>
            </w:r>
          </w:p>
          <w:p w14:paraId="650C9854" w14:textId="46561445" w:rsidR="00602BCB" w:rsidRPr="00DA0139" w:rsidRDefault="00E600DA" w:rsidP="00E600DA">
            <w:pPr>
              <w:pStyle w:val="CS-IBMTableBullet"/>
            </w:pPr>
            <w:r>
              <w:t>Report QA outcomes to Consortium</w:t>
            </w:r>
          </w:p>
        </w:tc>
        <w:tc>
          <w:tcPr>
            <w:tcW w:w="1959" w:type="pct"/>
            <w:hideMark/>
          </w:tcPr>
          <w:p w14:paraId="65D1C7F6" w14:textId="77777777" w:rsidR="00E600DA" w:rsidRDefault="00602BCB" w:rsidP="000530FC">
            <w:pPr>
              <w:pStyle w:val="CS-IBMTableText"/>
            </w:pPr>
            <w:r w:rsidRPr="00DA0139">
              <w:t>Defect Management: Monitor production quality &amp; remediation</w:t>
            </w:r>
          </w:p>
          <w:p w14:paraId="2F3CAD00" w14:textId="3BF11A55" w:rsidR="00602BCB" w:rsidRPr="00DA0139" w:rsidRDefault="00602BCB" w:rsidP="000530FC">
            <w:pPr>
              <w:pStyle w:val="CS-IBMTableText"/>
            </w:pPr>
            <w:r w:rsidRPr="00DA0139">
              <w:t>Applications Analysis: Release retrospectives, improvement recommendations</w:t>
            </w:r>
          </w:p>
        </w:tc>
      </w:tr>
      <w:tr w:rsidR="00212026" w:rsidRPr="001446FC" w14:paraId="35C4D987" w14:textId="77777777" w:rsidTr="00E600DA">
        <w:trPr>
          <w:trHeight w:val="20"/>
        </w:trPr>
        <w:tc>
          <w:tcPr>
            <w:tcW w:w="855" w:type="pct"/>
            <w:hideMark/>
          </w:tcPr>
          <w:p w14:paraId="4CB2908B" w14:textId="77777777" w:rsidR="00602BCB" w:rsidRPr="00F5503B" w:rsidRDefault="00602BCB" w:rsidP="000530FC">
            <w:pPr>
              <w:pStyle w:val="CS-IBMTableText"/>
              <w:rPr>
                <w:b/>
                <w:bCs/>
              </w:rPr>
            </w:pPr>
            <w:r w:rsidRPr="00F5503B">
              <w:rPr>
                <w:b/>
                <w:bCs/>
              </w:rPr>
              <w:t>QA Functional Manager</w:t>
            </w:r>
          </w:p>
        </w:tc>
        <w:tc>
          <w:tcPr>
            <w:tcW w:w="2129" w:type="pct"/>
          </w:tcPr>
          <w:p w14:paraId="38A9E42F" w14:textId="211BD7B4" w:rsidR="00E600DA" w:rsidRDefault="00E600DA" w:rsidP="00E600DA">
            <w:pPr>
              <w:pStyle w:val="CS-IBMTableBullet"/>
            </w:pPr>
            <w:r>
              <w:t>Oversee functional testing aligned to county workflows</w:t>
            </w:r>
          </w:p>
          <w:p w14:paraId="68A3B876" w14:textId="51E45F40" w:rsidR="00E600DA" w:rsidRDefault="00E600DA" w:rsidP="00E600DA">
            <w:pPr>
              <w:pStyle w:val="CS-IBMTableBullet"/>
            </w:pPr>
            <w:r>
              <w:t>Review requirements, user stories, and change requests</w:t>
            </w:r>
          </w:p>
          <w:p w14:paraId="6BE87B74" w14:textId="0FFB962F" w:rsidR="00E600DA" w:rsidRDefault="00E600DA" w:rsidP="00E600DA">
            <w:pPr>
              <w:pStyle w:val="CS-IBMTableBullet"/>
            </w:pPr>
            <w:r>
              <w:t>Ensure traceability of functional requirements</w:t>
            </w:r>
          </w:p>
          <w:p w14:paraId="796009F2" w14:textId="14BA3409" w:rsidR="00602BCB" w:rsidRPr="00DA0139" w:rsidRDefault="00E600DA" w:rsidP="00E600DA">
            <w:pPr>
              <w:pStyle w:val="CS-IBMTableBullet"/>
            </w:pPr>
            <w:r>
              <w:t>Coordinate UAT readiness</w:t>
            </w:r>
          </w:p>
        </w:tc>
        <w:tc>
          <w:tcPr>
            <w:tcW w:w="1959" w:type="pct"/>
            <w:hideMark/>
          </w:tcPr>
          <w:p w14:paraId="36A39B7A" w14:textId="77777777" w:rsidR="00E600DA" w:rsidRDefault="00602BCB" w:rsidP="000530FC">
            <w:pPr>
              <w:pStyle w:val="CS-IBMTableText"/>
            </w:pPr>
            <w:r w:rsidRPr="00DA0139">
              <w:t>Applications Analysis: Review change requests &amp; estimates</w:t>
            </w:r>
          </w:p>
          <w:p w14:paraId="746A86DE" w14:textId="3D905DE7" w:rsidR="00602BCB" w:rsidRPr="00DA0139" w:rsidRDefault="00602BCB" w:rsidP="000530FC">
            <w:pPr>
              <w:pStyle w:val="CS-IBMTableText"/>
            </w:pPr>
            <w:r w:rsidRPr="00DA0139">
              <w:t>Configuration Management: Validate requirements traceability</w:t>
            </w:r>
          </w:p>
        </w:tc>
      </w:tr>
      <w:tr w:rsidR="00212026" w:rsidRPr="001446FC" w14:paraId="3F043E28" w14:textId="77777777" w:rsidTr="00E600DA">
        <w:trPr>
          <w:trHeight w:val="20"/>
        </w:trPr>
        <w:tc>
          <w:tcPr>
            <w:tcW w:w="855" w:type="pct"/>
            <w:hideMark/>
          </w:tcPr>
          <w:p w14:paraId="5BD9D2A7" w14:textId="77777777" w:rsidR="00602BCB" w:rsidRPr="00F5503B" w:rsidRDefault="00602BCB" w:rsidP="000530FC">
            <w:pPr>
              <w:pStyle w:val="CS-IBMTableText"/>
              <w:rPr>
                <w:b/>
                <w:bCs/>
              </w:rPr>
            </w:pPr>
            <w:r w:rsidRPr="00F5503B">
              <w:rPr>
                <w:b/>
                <w:bCs/>
              </w:rPr>
              <w:t>QA Technical Manager</w:t>
            </w:r>
          </w:p>
        </w:tc>
        <w:tc>
          <w:tcPr>
            <w:tcW w:w="2129" w:type="pct"/>
          </w:tcPr>
          <w:p w14:paraId="7A503390" w14:textId="1EBAA209" w:rsidR="00E600DA" w:rsidRDefault="00E600DA" w:rsidP="00E600DA">
            <w:pPr>
              <w:pStyle w:val="CS-IBMTableBullet"/>
            </w:pPr>
            <w:r>
              <w:t>Lead validation across integrations, APIs, performance, and cloud infrastructure</w:t>
            </w:r>
          </w:p>
          <w:p w14:paraId="71D72182" w14:textId="50E67440" w:rsidR="00E600DA" w:rsidRDefault="00E600DA" w:rsidP="00E600DA">
            <w:pPr>
              <w:pStyle w:val="CS-IBMTableBullet"/>
            </w:pPr>
            <w:r>
              <w:t>Coordinate with CICs for automation &amp; performance QA</w:t>
            </w:r>
          </w:p>
          <w:p w14:paraId="4E733CDD" w14:textId="7E108850" w:rsidR="00602BCB" w:rsidRPr="00DA0139" w:rsidRDefault="00E600DA" w:rsidP="00E600DA">
            <w:pPr>
              <w:pStyle w:val="CS-IBMTableBullet"/>
            </w:pPr>
            <w:r>
              <w:t>Provide recommendations for scalability and resilience</w:t>
            </w:r>
          </w:p>
        </w:tc>
        <w:tc>
          <w:tcPr>
            <w:tcW w:w="1959" w:type="pct"/>
            <w:hideMark/>
          </w:tcPr>
          <w:p w14:paraId="2E7FDBE4" w14:textId="77777777" w:rsidR="00E600DA" w:rsidRDefault="00602BCB" w:rsidP="000530FC">
            <w:pPr>
              <w:pStyle w:val="CS-IBMTableText"/>
            </w:pPr>
            <w:r w:rsidRPr="00DA0139">
              <w:t>Performance Measurement Monitoring</w:t>
            </w:r>
          </w:p>
          <w:p w14:paraId="35F2CF37" w14:textId="7A2390BE" w:rsidR="00602BCB" w:rsidRPr="00DA0139" w:rsidRDefault="00602BCB" w:rsidP="000530FC">
            <w:pPr>
              <w:pStyle w:val="CS-IBMTableText"/>
            </w:pPr>
            <w:r w:rsidRPr="00DA0139">
              <w:t>Architecture Management</w:t>
            </w:r>
          </w:p>
        </w:tc>
      </w:tr>
      <w:tr w:rsidR="00212026" w:rsidRPr="001446FC" w14:paraId="6001B4C8" w14:textId="77777777" w:rsidTr="00E600DA">
        <w:trPr>
          <w:trHeight w:val="20"/>
        </w:trPr>
        <w:tc>
          <w:tcPr>
            <w:tcW w:w="855" w:type="pct"/>
            <w:hideMark/>
          </w:tcPr>
          <w:p w14:paraId="20D161D2" w14:textId="77777777" w:rsidR="00602BCB" w:rsidRPr="00F5503B" w:rsidRDefault="00602BCB" w:rsidP="000530FC">
            <w:pPr>
              <w:pStyle w:val="CS-IBMTableText"/>
              <w:rPr>
                <w:b/>
                <w:bCs/>
              </w:rPr>
            </w:pPr>
            <w:r w:rsidRPr="00F5503B">
              <w:rPr>
                <w:b/>
                <w:bCs/>
              </w:rPr>
              <w:t>Functional Testers</w:t>
            </w:r>
          </w:p>
        </w:tc>
        <w:tc>
          <w:tcPr>
            <w:tcW w:w="2129" w:type="pct"/>
          </w:tcPr>
          <w:p w14:paraId="7134CCEE" w14:textId="7973CC92" w:rsidR="00E600DA" w:rsidRDefault="00E600DA" w:rsidP="00E600DA">
            <w:pPr>
              <w:pStyle w:val="CS-IBMTableBullet"/>
            </w:pPr>
            <w:r>
              <w:t>Execute test cases for county workflows</w:t>
            </w:r>
          </w:p>
          <w:p w14:paraId="11A6AD6A" w14:textId="31B1E511" w:rsidR="00E600DA" w:rsidRDefault="00E600DA" w:rsidP="00E600DA">
            <w:pPr>
              <w:pStyle w:val="CS-IBMTableBullet"/>
            </w:pPr>
            <w:r>
              <w:t>Support regression and UAT</w:t>
            </w:r>
          </w:p>
          <w:p w14:paraId="1BA26E3D" w14:textId="6DD7EE03" w:rsidR="00602BCB" w:rsidRPr="00DA0139" w:rsidRDefault="00E600DA" w:rsidP="00E600DA">
            <w:pPr>
              <w:pStyle w:val="CS-IBMTableBullet"/>
            </w:pPr>
            <w:r>
              <w:t>Validate business rules across CalSAWS/BenefitsCal</w:t>
            </w:r>
          </w:p>
        </w:tc>
        <w:tc>
          <w:tcPr>
            <w:tcW w:w="1959" w:type="pct"/>
            <w:hideMark/>
          </w:tcPr>
          <w:p w14:paraId="416BCF6F" w14:textId="77777777" w:rsidR="00602BCB" w:rsidRPr="00DA0139" w:rsidRDefault="00602BCB" w:rsidP="000530FC">
            <w:pPr>
              <w:pStyle w:val="CS-IBMTableText"/>
            </w:pPr>
            <w:r w:rsidRPr="00DA0139">
              <w:t>Applications Analysis: Validate functional requirements</w:t>
            </w:r>
          </w:p>
        </w:tc>
      </w:tr>
      <w:tr w:rsidR="00212026" w:rsidRPr="001446FC" w14:paraId="0A8D4EAA" w14:textId="77777777" w:rsidTr="00E600DA">
        <w:trPr>
          <w:trHeight w:val="20"/>
        </w:trPr>
        <w:tc>
          <w:tcPr>
            <w:tcW w:w="855" w:type="pct"/>
            <w:hideMark/>
          </w:tcPr>
          <w:p w14:paraId="3C81463B" w14:textId="3F4F0C26" w:rsidR="00602BCB" w:rsidRPr="00F5503B" w:rsidRDefault="00602BCB" w:rsidP="000530FC">
            <w:pPr>
              <w:pStyle w:val="CS-IBMTableText"/>
              <w:rPr>
                <w:b/>
                <w:bCs/>
              </w:rPr>
            </w:pPr>
            <w:r w:rsidRPr="00F5503B">
              <w:rPr>
                <w:b/>
                <w:bCs/>
              </w:rPr>
              <w:t xml:space="preserve">Business Analysts/Subject </w:t>
            </w:r>
            <w:r w:rsidR="005C2666">
              <w:rPr>
                <w:b/>
                <w:bCs/>
              </w:rPr>
              <w:t xml:space="preserve">Subject </w:t>
            </w:r>
            <w:r w:rsidRPr="00F5503B">
              <w:rPr>
                <w:b/>
                <w:bCs/>
              </w:rPr>
              <w:t xml:space="preserve">Matter Experts (QA </w:t>
            </w:r>
            <w:r w:rsidRPr="00F5503B">
              <w:rPr>
                <w:b/>
                <w:bCs/>
              </w:rPr>
              <w:lastRenderedPageBreak/>
              <w:t>Focus)</w:t>
            </w:r>
          </w:p>
        </w:tc>
        <w:tc>
          <w:tcPr>
            <w:tcW w:w="2129" w:type="pct"/>
          </w:tcPr>
          <w:p w14:paraId="32C0298C" w14:textId="15B42F53" w:rsidR="00E600DA" w:rsidRDefault="00E600DA" w:rsidP="00E600DA">
            <w:pPr>
              <w:pStyle w:val="CS-IBMTableBullet"/>
            </w:pPr>
            <w:r>
              <w:lastRenderedPageBreak/>
              <w:t>Review functional and design documentation</w:t>
            </w:r>
          </w:p>
          <w:p w14:paraId="1106BB6D" w14:textId="515C87E2" w:rsidR="00E600DA" w:rsidRDefault="00E600DA" w:rsidP="00E600DA">
            <w:pPr>
              <w:pStyle w:val="CS-IBMTableBullet"/>
            </w:pPr>
            <w:r>
              <w:t>Maintain requirements traceability matrix</w:t>
            </w:r>
          </w:p>
          <w:p w14:paraId="46701CA6" w14:textId="554B21B9" w:rsidR="00602BCB" w:rsidRPr="00DA0139" w:rsidRDefault="00E600DA" w:rsidP="00E600DA">
            <w:pPr>
              <w:pStyle w:val="CS-IBMTableBullet"/>
            </w:pPr>
            <w:r>
              <w:lastRenderedPageBreak/>
              <w:t>Support QA planning &amp; validation</w:t>
            </w:r>
          </w:p>
        </w:tc>
        <w:tc>
          <w:tcPr>
            <w:tcW w:w="1959" w:type="pct"/>
            <w:hideMark/>
          </w:tcPr>
          <w:p w14:paraId="13462708" w14:textId="38652B1E" w:rsidR="00E600DA" w:rsidRDefault="00602BCB" w:rsidP="000530FC">
            <w:pPr>
              <w:pStyle w:val="CS-IBMTableText"/>
            </w:pPr>
            <w:r w:rsidRPr="00DA0139">
              <w:lastRenderedPageBreak/>
              <w:t xml:space="preserve">Configuration Management: Validate requirements </w:t>
            </w:r>
            <w:r w:rsidR="00CA4AA5">
              <w:t xml:space="preserve">traceability </w:t>
            </w:r>
          </w:p>
          <w:p w14:paraId="5607F6A0" w14:textId="05542278" w:rsidR="00602BCB" w:rsidRPr="00DA0139" w:rsidRDefault="00602BCB" w:rsidP="000530FC">
            <w:pPr>
              <w:pStyle w:val="CS-IBMTableText"/>
            </w:pPr>
            <w:r w:rsidRPr="00DA0139">
              <w:t>Applications Analysis</w:t>
            </w:r>
          </w:p>
        </w:tc>
      </w:tr>
      <w:tr w:rsidR="00212026" w:rsidRPr="001446FC" w14:paraId="59B6B0C0" w14:textId="77777777" w:rsidTr="00212026">
        <w:trPr>
          <w:trHeight w:val="20"/>
        </w:trPr>
        <w:tc>
          <w:tcPr>
            <w:tcW w:w="855" w:type="pct"/>
            <w:hideMark/>
          </w:tcPr>
          <w:p w14:paraId="6A0F90DE" w14:textId="77777777" w:rsidR="00602BCB" w:rsidRPr="00F5503B" w:rsidRDefault="00602BCB" w:rsidP="000530FC">
            <w:pPr>
              <w:pStyle w:val="CS-IBMTableText"/>
              <w:rPr>
                <w:b/>
                <w:bCs/>
              </w:rPr>
            </w:pPr>
            <w:r w:rsidRPr="00F5503B">
              <w:rPr>
                <w:b/>
                <w:bCs/>
              </w:rPr>
              <w:t>Automation Testers</w:t>
            </w:r>
          </w:p>
        </w:tc>
        <w:tc>
          <w:tcPr>
            <w:tcW w:w="2129" w:type="pct"/>
            <w:hideMark/>
          </w:tcPr>
          <w:p w14:paraId="3B541B21" w14:textId="77777777" w:rsidR="00E600DA" w:rsidRDefault="00E600DA" w:rsidP="00E600DA">
            <w:pPr>
              <w:pStyle w:val="CS-IBMTableBullet"/>
            </w:pPr>
            <w:r>
              <w:t>Build &amp; maintain automated regression suites</w:t>
            </w:r>
          </w:p>
          <w:p w14:paraId="24A1967C" w14:textId="166C1F42" w:rsidR="00E600DA" w:rsidRDefault="00E600DA" w:rsidP="00E600DA">
            <w:pPr>
              <w:pStyle w:val="CS-IBMTableBullet"/>
            </w:pPr>
            <w:r>
              <w:t>Integrate automation into CI/CD pipelines</w:t>
            </w:r>
          </w:p>
          <w:p w14:paraId="72358EEE" w14:textId="5F447A9E" w:rsidR="00602BCB" w:rsidRPr="00DA0139" w:rsidRDefault="00E600DA" w:rsidP="00E600DA">
            <w:pPr>
              <w:pStyle w:val="CS-IBMTableBullet"/>
            </w:pPr>
            <w:r>
              <w:t>Accelerate release validation</w:t>
            </w:r>
          </w:p>
        </w:tc>
        <w:tc>
          <w:tcPr>
            <w:tcW w:w="1959" w:type="pct"/>
            <w:hideMark/>
          </w:tcPr>
          <w:p w14:paraId="73AC7940" w14:textId="77777777" w:rsidR="00E600DA" w:rsidRDefault="00602BCB" w:rsidP="000530FC">
            <w:pPr>
              <w:pStyle w:val="CS-IBMTableText"/>
            </w:pPr>
            <w:r w:rsidRPr="00DA0139">
              <w:t>Defect Management: Regression</w:t>
            </w:r>
          </w:p>
          <w:p w14:paraId="0BB92B16" w14:textId="3AB47453" w:rsidR="00602BCB" w:rsidRPr="00DA0139" w:rsidRDefault="00602BCB" w:rsidP="000530FC">
            <w:pPr>
              <w:pStyle w:val="CS-IBMTableText"/>
            </w:pPr>
            <w:r w:rsidRPr="00DA0139">
              <w:t>Performance Monitoring</w:t>
            </w:r>
          </w:p>
        </w:tc>
      </w:tr>
      <w:tr w:rsidR="00212026" w:rsidRPr="001446FC" w14:paraId="747B3CB3" w14:textId="77777777" w:rsidTr="00E600DA">
        <w:trPr>
          <w:trHeight w:val="20"/>
        </w:trPr>
        <w:tc>
          <w:tcPr>
            <w:tcW w:w="855" w:type="pct"/>
            <w:hideMark/>
          </w:tcPr>
          <w:p w14:paraId="50A793B6" w14:textId="77777777" w:rsidR="00602BCB" w:rsidRPr="00F5503B" w:rsidRDefault="00602BCB" w:rsidP="000530FC">
            <w:pPr>
              <w:pStyle w:val="CS-IBMTableText"/>
              <w:rPr>
                <w:b/>
                <w:bCs/>
              </w:rPr>
            </w:pPr>
            <w:r w:rsidRPr="00F5503B">
              <w:rPr>
                <w:b/>
                <w:bCs/>
              </w:rPr>
              <w:t>AI QA Specialists</w:t>
            </w:r>
          </w:p>
        </w:tc>
        <w:tc>
          <w:tcPr>
            <w:tcW w:w="2129" w:type="pct"/>
          </w:tcPr>
          <w:p w14:paraId="2087F943" w14:textId="07924D1A" w:rsidR="00E600DA" w:rsidRDefault="00E600DA" w:rsidP="00E600DA">
            <w:pPr>
              <w:pStyle w:val="CS-IBMTableBullet"/>
            </w:pPr>
            <w:r>
              <w:t>Apply predictive analytics for risk detection</w:t>
            </w:r>
          </w:p>
          <w:p w14:paraId="1B7247B9" w14:textId="4C54155E" w:rsidR="00E600DA" w:rsidRDefault="00E600DA" w:rsidP="00E600DA">
            <w:pPr>
              <w:pStyle w:val="CS-IBMTableBullet"/>
            </w:pPr>
            <w:r>
              <w:t>Leverage self-healing automation &amp; synthetic data</w:t>
            </w:r>
          </w:p>
          <w:p w14:paraId="47DA7E6A" w14:textId="1E5FFE14" w:rsidR="00602BCB" w:rsidRPr="00DA0139" w:rsidRDefault="00E600DA" w:rsidP="00E600DA">
            <w:pPr>
              <w:pStyle w:val="CS-IBMTableBullet"/>
            </w:pPr>
            <w:r>
              <w:t>Enhance prioritization of test coverage</w:t>
            </w:r>
          </w:p>
        </w:tc>
        <w:tc>
          <w:tcPr>
            <w:tcW w:w="1959" w:type="pct"/>
            <w:hideMark/>
          </w:tcPr>
          <w:p w14:paraId="002FEB8D" w14:textId="77777777" w:rsidR="00E600DA" w:rsidRDefault="00602BCB" w:rsidP="000530FC">
            <w:pPr>
              <w:pStyle w:val="CS-IBMTableText"/>
            </w:pPr>
            <w:r w:rsidRPr="00DA0139">
              <w:t>Performance Measurement: Early anomaly detection</w:t>
            </w:r>
          </w:p>
          <w:p w14:paraId="2430856C" w14:textId="496C2A7B" w:rsidR="00602BCB" w:rsidRPr="00DA0139" w:rsidRDefault="00602BCB" w:rsidP="000530FC">
            <w:pPr>
              <w:pStyle w:val="CS-IBMTableText"/>
            </w:pPr>
            <w:r w:rsidRPr="00DA0139">
              <w:t>Applications Analysis</w:t>
            </w:r>
          </w:p>
        </w:tc>
      </w:tr>
      <w:tr w:rsidR="00212026" w:rsidRPr="001446FC" w14:paraId="24698859" w14:textId="77777777" w:rsidTr="00E600DA">
        <w:trPr>
          <w:trHeight w:val="20"/>
        </w:trPr>
        <w:tc>
          <w:tcPr>
            <w:tcW w:w="855" w:type="pct"/>
            <w:hideMark/>
          </w:tcPr>
          <w:p w14:paraId="36D48F45" w14:textId="77777777" w:rsidR="00602BCB" w:rsidRPr="00F5503B" w:rsidRDefault="00602BCB" w:rsidP="000530FC">
            <w:pPr>
              <w:pStyle w:val="CS-IBMTableText"/>
              <w:rPr>
                <w:b/>
                <w:bCs/>
              </w:rPr>
            </w:pPr>
            <w:r w:rsidRPr="00F5503B">
              <w:rPr>
                <w:b/>
                <w:bCs/>
              </w:rPr>
              <w:t>Technical SMEs</w:t>
            </w:r>
          </w:p>
        </w:tc>
        <w:tc>
          <w:tcPr>
            <w:tcW w:w="2129" w:type="pct"/>
          </w:tcPr>
          <w:p w14:paraId="166F9CB7" w14:textId="49F0341E" w:rsidR="00E600DA" w:rsidRDefault="00E600DA" w:rsidP="00E600DA">
            <w:pPr>
              <w:pStyle w:val="CS-IBMTableBullet"/>
            </w:pPr>
            <w:r>
              <w:t>Review architecture/integration designs</w:t>
            </w:r>
          </w:p>
          <w:p w14:paraId="52DBC67C" w14:textId="3326F479" w:rsidR="00E600DA" w:rsidRDefault="00E600DA" w:rsidP="00E600DA">
            <w:pPr>
              <w:pStyle w:val="CS-IBMTableBullet"/>
            </w:pPr>
            <w:r>
              <w:t>Recommend system scalability improvements</w:t>
            </w:r>
          </w:p>
          <w:p w14:paraId="138927CE" w14:textId="031B0CCF" w:rsidR="00602BCB" w:rsidRPr="00DA0139" w:rsidRDefault="00E600DA" w:rsidP="00E600DA">
            <w:pPr>
              <w:pStyle w:val="CS-IBMTableBullet"/>
            </w:pPr>
            <w:r>
              <w:t>Resolve cross-vendor technical issues</w:t>
            </w:r>
          </w:p>
        </w:tc>
        <w:tc>
          <w:tcPr>
            <w:tcW w:w="1959" w:type="pct"/>
            <w:hideMark/>
          </w:tcPr>
          <w:p w14:paraId="55AF5D2A" w14:textId="77777777" w:rsidR="00E600DA" w:rsidRDefault="00602BCB" w:rsidP="000530FC">
            <w:pPr>
              <w:pStyle w:val="CS-IBMTableText"/>
            </w:pPr>
            <w:r w:rsidRPr="00DA0139">
              <w:t>Architecture Management</w:t>
            </w:r>
          </w:p>
          <w:p w14:paraId="0FC8C63B" w14:textId="4395F54A" w:rsidR="00602BCB" w:rsidRPr="00DA0139" w:rsidRDefault="00602BCB" w:rsidP="000530FC">
            <w:pPr>
              <w:pStyle w:val="CS-IBMTableText"/>
            </w:pPr>
            <w:r w:rsidRPr="00DA0139">
              <w:t>Network Management</w:t>
            </w:r>
          </w:p>
        </w:tc>
      </w:tr>
      <w:tr w:rsidR="00212026" w:rsidRPr="001446FC" w14:paraId="0925F1CF" w14:textId="77777777" w:rsidTr="00E600DA">
        <w:trPr>
          <w:trHeight w:val="20"/>
        </w:trPr>
        <w:tc>
          <w:tcPr>
            <w:tcW w:w="855" w:type="pct"/>
            <w:hideMark/>
          </w:tcPr>
          <w:p w14:paraId="7FA079AC" w14:textId="77777777" w:rsidR="00602BCB" w:rsidRPr="00F5503B" w:rsidRDefault="00602BCB" w:rsidP="000530FC">
            <w:pPr>
              <w:pStyle w:val="CS-IBMTableText"/>
              <w:rPr>
                <w:b/>
                <w:bCs/>
              </w:rPr>
            </w:pPr>
            <w:r w:rsidRPr="00F5503B">
              <w:rPr>
                <w:b/>
                <w:bCs/>
              </w:rPr>
              <w:t>DevSecOps &amp; Security SMEs</w:t>
            </w:r>
          </w:p>
        </w:tc>
        <w:tc>
          <w:tcPr>
            <w:tcW w:w="2129" w:type="pct"/>
          </w:tcPr>
          <w:p w14:paraId="5F07DCE7" w14:textId="21F54F4A" w:rsidR="00E600DA" w:rsidRDefault="00E600DA" w:rsidP="00E600DA">
            <w:pPr>
              <w:pStyle w:val="CS-IBMTableBullet"/>
            </w:pPr>
            <w:r>
              <w:t>Validate QA integration with DevSecOps pipelines</w:t>
            </w:r>
          </w:p>
          <w:p w14:paraId="4BB2669B" w14:textId="358B6BD7" w:rsidR="00E600DA" w:rsidRDefault="00E600DA" w:rsidP="00E600DA">
            <w:pPr>
              <w:pStyle w:val="CS-IBMTableBullet"/>
            </w:pPr>
            <w:r>
              <w:t>Conduct security, vulnerability, and compliance testing</w:t>
            </w:r>
          </w:p>
          <w:p w14:paraId="4A68B64B" w14:textId="744AD699" w:rsidR="00602BCB" w:rsidRPr="00DA0139" w:rsidRDefault="00E600DA" w:rsidP="00E600DA">
            <w:pPr>
              <w:pStyle w:val="CS-IBMTableBullet"/>
            </w:pPr>
            <w:r>
              <w:t>Oversee DR/BCP QA validation</w:t>
            </w:r>
          </w:p>
        </w:tc>
        <w:tc>
          <w:tcPr>
            <w:tcW w:w="1959" w:type="pct"/>
            <w:hideMark/>
          </w:tcPr>
          <w:p w14:paraId="7347493C" w14:textId="77777777" w:rsidR="00E600DA" w:rsidRDefault="00602BCB" w:rsidP="000530FC">
            <w:pPr>
              <w:pStyle w:val="CS-IBMTableText"/>
            </w:pPr>
            <w:r w:rsidRPr="00DA0139">
              <w:t>Security Management</w:t>
            </w:r>
          </w:p>
          <w:p w14:paraId="2E2629FF" w14:textId="10D1706C" w:rsidR="00602BCB" w:rsidRPr="00DA0139" w:rsidRDefault="00602BCB" w:rsidP="000530FC">
            <w:pPr>
              <w:pStyle w:val="CS-IBMTableText"/>
            </w:pPr>
            <w:r w:rsidRPr="00DA0139">
              <w:t>Operations Management</w:t>
            </w:r>
          </w:p>
        </w:tc>
      </w:tr>
      <w:tr w:rsidR="00212026" w:rsidRPr="001446FC" w14:paraId="758C944A" w14:textId="77777777" w:rsidTr="00E600DA">
        <w:trPr>
          <w:trHeight w:val="20"/>
        </w:trPr>
        <w:tc>
          <w:tcPr>
            <w:tcW w:w="855" w:type="pct"/>
            <w:hideMark/>
          </w:tcPr>
          <w:p w14:paraId="0FBA4155" w14:textId="77777777" w:rsidR="00602BCB" w:rsidRPr="00F5503B" w:rsidRDefault="00602BCB" w:rsidP="000530FC">
            <w:pPr>
              <w:pStyle w:val="CS-IBMTableText"/>
              <w:rPr>
                <w:b/>
                <w:bCs/>
              </w:rPr>
            </w:pPr>
            <w:r w:rsidRPr="00F5503B">
              <w:rPr>
                <w:b/>
                <w:bCs/>
              </w:rPr>
              <w:t>Cloud/AWS SMEs</w:t>
            </w:r>
          </w:p>
        </w:tc>
        <w:tc>
          <w:tcPr>
            <w:tcW w:w="2129" w:type="pct"/>
          </w:tcPr>
          <w:p w14:paraId="0B691A89" w14:textId="0E71A4A8" w:rsidR="00E600DA" w:rsidRDefault="00E600DA" w:rsidP="00E600DA">
            <w:pPr>
              <w:pStyle w:val="CS-IBMTableBullet"/>
            </w:pPr>
            <w:r>
              <w:t>Validate QA for cloud-native features</w:t>
            </w:r>
          </w:p>
          <w:p w14:paraId="5A2BB6FC" w14:textId="30289422" w:rsidR="00E600DA" w:rsidRDefault="00E600DA" w:rsidP="00E600DA">
            <w:pPr>
              <w:pStyle w:val="CS-IBMTableBullet"/>
            </w:pPr>
            <w:r>
              <w:t>Test scalability, DR, and monitoring</w:t>
            </w:r>
          </w:p>
          <w:p w14:paraId="77691704" w14:textId="49C53D12" w:rsidR="00602BCB" w:rsidRPr="00DA0139" w:rsidRDefault="00E600DA" w:rsidP="00E600DA">
            <w:pPr>
              <w:pStyle w:val="CS-IBMTableBullet"/>
            </w:pPr>
            <w:r>
              <w:t>Ensure infrastructure alignment with AWS best practices</w:t>
            </w:r>
          </w:p>
        </w:tc>
        <w:tc>
          <w:tcPr>
            <w:tcW w:w="1959" w:type="pct"/>
            <w:hideMark/>
          </w:tcPr>
          <w:p w14:paraId="4B04C0B2" w14:textId="77777777" w:rsidR="00E600DA" w:rsidRDefault="00602BCB" w:rsidP="000530FC">
            <w:pPr>
              <w:pStyle w:val="CS-IBMTableText"/>
            </w:pPr>
            <w:r w:rsidRPr="00DA0139">
              <w:t>Operations Management</w:t>
            </w:r>
          </w:p>
          <w:p w14:paraId="15A4FD0D" w14:textId="10614515" w:rsidR="00602BCB" w:rsidRPr="00DA0139" w:rsidRDefault="00602BCB" w:rsidP="000530FC">
            <w:pPr>
              <w:pStyle w:val="CS-IBMTableText"/>
            </w:pPr>
            <w:r w:rsidRPr="00DA0139">
              <w:t>Procurement</w:t>
            </w:r>
          </w:p>
        </w:tc>
      </w:tr>
      <w:tr w:rsidR="00212026" w:rsidRPr="001446FC" w14:paraId="0CD8C536" w14:textId="77777777" w:rsidTr="00E600DA">
        <w:trPr>
          <w:trHeight w:val="20"/>
        </w:trPr>
        <w:tc>
          <w:tcPr>
            <w:tcW w:w="855" w:type="pct"/>
            <w:hideMark/>
          </w:tcPr>
          <w:p w14:paraId="2D21E068" w14:textId="77777777" w:rsidR="00602BCB" w:rsidRPr="00F5503B" w:rsidRDefault="00602BCB" w:rsidP="000530FC">
            <w:pPr>
              <w:pStyle w:val="CS-IBMTableText"/>
              <w:rPr>
                <w:b/>
                <w:bCs/>
              </w:rPr>
            </w:pPr>
            <w:r w:rsidRPr="00F5503B">
              <w:rPr>
                <w:b/>
                <w:bCs/>
              </w:rPr>
              <w:t>Performance Testers</w:t>
            </w:r>
          </w:p>
        </w:tc>
        <w:tc>
          <w:tcPr>
            <w:tcW w:w="2129" w:type="pct"/>
          </w:tcPr>
          <w:p w14:paraId="0F8F2DCB" w14:textId="373967E2" w:rsidR="00E600DA" w:rsidRDefault="00E600DA" w:rsidP="00E600DA">
            <w:pPr>
              <w:pStyle w:val="CS-IBMTableBullet"/>
            </w:pPr>
            <w:r>
              <w:t>Execute load, stress, and endurance tests</w:t>
            </w:r>
          </w:p>
          <w:p w14:paraId="02DC6D36" w14:textId="7CA1D510" w:rsidR="00E600DA" w:rsidRDefault="00E600DA" w:rsidP="00E600DA">
            <w:pPr>
              <w:pStyle w:val="CS-IBMTableBullet"/>
            </w:pPr>
            <w:r>
              <w:t>Report anomalies and recommend tuning</w:t>
            </w:r>
          </w:p>
          <w:p w14:paraId="07AAC3A3" w14:textId="75ADFDB7" w:rsidR="00602BCB" w:rsidRPr="00DA0139" w:rsidRDefault="00E600DA" w:rsidP="00E600DA">
            <w:pPr>
              <w:pStyle w:val="CS-IBMTableBullet"/>
            </w:pPr>
            <w:r>
              <w:t>Validate batch processes</w:t>
            </w:r>
          </w:p>
        </w:tc>
        <w:tc>
          <w:tcPr>
            <w:tcW w:w="1959" w:type="pct"/>
            <w:hideMark/>
          </w:tcPr>
          <w:p w14:paraId="15EC84C5" w14:textId="77777777" w:rsidR="00E600DA" w:rsidRDefault="00602BCB" w:rsidP="000530FC">
            <w:pPr>
              <w:pStyle w:val="CS-IBMTableText"/>
            </w:pPr>
            <w:r w:rsidRPr="00DA0139">
              <w:t>Performance Measurement</w:t>
            </w:r>
          </w:p>
          <w:p w14:paraId="3D1FED20" w14:textId="2DAE2D91" w:rsidR="00602BCB" w:rsidRPr="00DA0139" w:rsidRDefault="00602BCB" w:rsidP="000530FC">
            <w:pPr>
              <w:pStyle w:val="CS-IBMTableText"/>
            </w:pPr>
            <w:r w:rsidRPr="00DA0139">
              <w:t>Batch Support</w:t>
            </w:r>
          </w:p>
        </w:tc>
      </w:tr>
    </w:tbl>
    <w:p w14:paraId="7362CFAB" w14:textId="77777777" w:rsidR="00743F72" w:rsidRDefault="00743F72" w:rsidP="00D526CA">
      <w:pPr>
        <w:pStyle w:val="CS-IBMResponseText"/>
        <w:rPr>
          <w:b/>
          <w:bCs/>
        </w:rPr>
      </w:pPr>
    </w:p>
    <w:p w14:paraId="3173DB73" w14:textId="77777777" w:rsidR="00743F72" w:rsidRDefault="00743F72" w:rsidP="00D526CA">
      <w:pPr>
        <w:pStyle w:val="CS-IBMResponseText"/>
        <w:rPr>
          <w:b/>
          <w:bCs/>
        </w:rPr>
      </w:pPr>
    </w:p>
    <w:p w14:paraId="2DD33333" w14:textId="77777777" w:rsidR="00743F72" w:rsidRDefault="00743F72" w:rsidP="00D526CA">
      <w:pPr>
        <w:pStyle w:val="CS-IBMResponseText"/>
        <w:rPr>
          <w:b/>
          <w:bCs/>
        </w:rPr>
      </w:pPr>
    </w:p>
    <w:p w14:paraId="232A2D78" w14:textId="44B6A48B" w:rsidR="00602BCB" w:rsidRDefault="00602BCB" w:rsidP="00D526CA">
      <w:pPr>
        <w:pStyle w:val="CS-IBMResponseText"/>
        <w:rPr>
          <w:b/>
          <w:bCs/>
        </w:rPr>
      </w:pPr>
      <w:r w:rsidRPr="00E600DA">
        <w:rPr>
          <w:b/>
          <w:bCs/>
        </w:rPr>
        <w:lastRenderedPageBreak/>
        <w:t>RACI Matrix (Roles vs. Consortium QA Responsibilities)</w:t>
      </w:r>
    </w:p>
    <w:p w14:paraId="7B0E88F6" w14:textId="77777777" w:rsidR="00743F72" w:rsidRPr="00743F72" w:rsidRDefault="00743F72" w:rsidP="00743F72">
      <w:pPr>
        <w:spacing w:before="0" w:after="0"/>
        <w:rPr>
          <w:rFonts w:eastAsia="IBM Plex Sans" w:cs="Arial"/>
          <w:color w:val="0D0D0D" w:themeColor="text1" w:themeTint="F2"/>
          <w:szCs w:val="21"/>
        </w:rPr>
      </w:pPr>
      <w:r w:rsidRPr="00743F72">
        <w:rPr>
          <w:rFonts w:eastAsia="IBM Plex Sans" w:cs="Arial"/>
          <w:color w:val="0D0D0D" w:themeColor="text1" w:themeTint="F2"/>
          <w:szCs w:val="21"/>
        </w:rPr>
        <w:t>IBM’s RACI matrix establishes clear accountability and coordination across Consortium QA responsibilities.</w:t>
      </w:r>
    </w:p>
    <w:p w14:paraId="77A94E2F" w14:textId="77777777" w:rsidR="00743F72" w:rsidRPr="00743F72" w:rsidRDefault="00743F72" w:rsidP="00743F72">
      <w:pPr>
        <w:numPr>
          <w:ilvl w:val="0"/>
          <w:numId w:val="37"/>
        </w:numPr>
        <w:spacing w:before="0" w:after="0"/>
        <w:rPr>
          <w:rFonts w:eastAsia="IBM Plex Sans" w:cs="Arial"/>
          <w:color w:val="0D0D0D" w:themeColor="text1" w:themeTint="F2"/>
          <w:szCs w:val="21"/>
        </w:rPr>
      </w:pPr>
      <w:r w:rsidRPr="00743F72">
        <w:rPr>
          <w:rFonts w:eastAsia="IBM Plex Sans" w:cs="Arial"/>
          <w:color w:val="0D0D0D" w:themeColor="text1" w:themeTint="F2"/>
          <w:szCs w:val="21"/>
        </w:rPr>
        <w:t>The QA Project Manager is accountable for governance, coordination, and overall delivery.</w:t>
      </w:r>
    </w:p>
    <w:p w14:paraId="352954FD" w14:textId="77777777" w:rsidR="00743F72" w:rsidRPr="00743F72" w:rsidRDefault="00743F72" w:rsidP="00743F72">
      <w:pPr>
        <w:numPr>
          <w:ilvl w:val="0"/>
          <w:numId w:val="37"/>
        </w:numPr>
        <w:spacing w:before="0" w:after="0"/>
        <w:rPr>
          <w:rFonts w:eastAsia="IBM Plex Sans" w:cs="Arial"/>
          <w:color w:val="0D0D0D" w:themeColor="text1" w:themeTint="F2"/>
          <w:szCs w:val="21"/>
        </w:rPr>
      </w:pPr>
      <w:r w:rsidRPr="00743F72">
        <w:rPr>
          <w:rFonts w:eastAsia="IBM Plex Sans" w:cs="Arial"/>
          <w:color w:val="0D0D0D" w:themeColor="text1" w:themeTint="F2"/>
          <w:szCs w:val="21"/>
        </w:rPr>
        <w:t>The QA Test, Functional, and Technical Managers are responsible for execution across their respective domains, ensuring each QA activity—test design, execution, analysis, and reporting—remains synchronized with vendor milestones and release plans.</w:t>
      </w:r>
    </w:p>
    <w:p w14:paraId="0DAE47C1" w14:textId="77777777" w:rsidR="00743F72" w:rsidRPr="00743F72" w:rsidRDefault="00743F72" w:rsidP="00743F72">
      <w:pPr>
        <w:numPr>
          <w:ilvl w:val="0"/>
          <w:numId w:val="37"/>
        </w:numPr>
        <w:spacing w:before="0" w:after="0"/>
        <w:rPr>
          <w:rFonts w:eastAsia="IBM Plex Sans" w:cs="Arial"/>
          <w:color w:val="0D0D0D" w:themeColor="text1" w:themeTint="F2"/>
          <w:szCs w:val="21"/>
        </w:rPr>
      </w:pPr>
      <w:r w:rsidRPr="00743F72">
        <w:rPr>
          <w:rFonts w:eastAsia="IBM Plex Sans" w:cs="Arial"/>
          <w:color w:val="0D0D0D" w:themeColor="text1" w:themeTint="F2"/>
          <w:szCs w:val="21"/>
        </w:rPr>
        <w:t>SMEs and testers are responsible for day-to-day execution, technical validation, and continuous feedback loops into the Consortium’s governance model.</w:t>
      </w:r>
    </w:p>
    <w:p w14:paraId="0EDE3396" w14:textId="7EEB1EC9" w:rsidR="00743F72" w:rsidRPr="00743F72" w:rsidRDefault="00743F72" w:rsidP="00743F72">
      <w:pPr>
        <w:spacing w:before="0" w:after="0"/>
        <w:rPr>
          <w:rFonts w:eastAsia="IBM Plex Sans" w:cs="Arial"/>
          <w:color w:val="0D0D0D" w:themeColor="text1" w:themeTint="F2"/>
          <w:szCs w:val="21"/>
        </w:rPr>
      </w:pPr>
      <w:r w:rsidRPr="00743F72">
        <w:rPr>
          <w:rFonts w:eastAsia="IBM Plex Sans" w:cs="Arial"/>
          <w:color w:val="0D0D0D" w:themeColor="text1" w:themeTint="F2"/>
          <w:szCs w:val="21"/>
        </w:rPr>
        <w:t>This transparent governance structure aligns with the CalSAWS PMO and ensures seamless coordination across partner vendors—Deloitte (M&amp;E), Gainwell (Infrastructure), and Accenture (BenefitsCal)—with IBM acting as the quality integration hub across all streams.</w:t>
      </w:r>
    </w:p>
    <w:p w14:paraId="7A3AA995" w14:textId="19910CC5" w:rsidR="00570880" w:rsidRDefault="00570880" w:rsidP="00570880">
      <w:pPr>
        <w:pStyle w:val="Caption"/>
        <w:keepNext/>
        <w:jc w:val="center"/>
      </w:pPr>
      <w:bookmarkStart w:id="32" w:name="_Toc213064571"/>
      <w:r>
        <w:t xml:space="preserve">Table 3.1.1. </w:t>
      </w:r>
      <w:r>
        <w:fldChar w:fldCharType="begin"/>
      </w:r>
      <w:r>
        <w:instrText xml:space="preserve"> SEQ Table_3.1.1. \* ARABIC </w:instrText>
      </w:r>
      <w:r>
        <w:fldChar w:fldCharType="separate"/>
      </w:r>
      <w:r>
        <w:rPr>
          <w:noProof/>
        </w:rPr>
        <w:t>4</w:t>
      </w:r>
      <w:r>
        <w:fldChar w:fldCharType="end"/>
      </w:r>
      <w:r>
        <w:t xml:space="preserve"> RACI Matrix (Roles vs. Consortium QA Responsibilities)</w:t>
      </w:r>
      <w:bookmarkEnd w:id="32"/>
    </w:p>
    <w:tbl>
      <w:tblPr>
        <w:tblW w:w="944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top w:w="15" w:type="dxa"/>
          <w:left w:w="15" w:type="dxa"/>
          <w:bottom w:w="15" w:type="dxa"/>
          <w:right w:w="15" w:type="dxa"/>
        </w:tblCellMar>
        <w:tblLook w:val="04A0" w:firstRow="1" w:lastRow="0" w:firstColumn="1" w:lastColumn="0" w:noHBand="0" w:noVBand="1"/>
      </w:tblPr>
      <w:tblGrid>
        <w:gridCol w:w="1557"/>
        <w:gridCol w:w="1007"/>
        <w:gridCol w:w="1160"/>
        <w:gridCol w:w="1130"/>
        <w:gridCol w:w="1060"/>
        <w:gridCol w:w="1365"/>
        <w:gridCol w:w="1264"/>
        <w:gridCol w:w="906"/>
      </w:tblGrid>
      <w:tr w:rsidR="00E600DA" w:rsidRPr="001446FC" w14:paraId="58968FAF" w14:textId="77777777" w:rsidTr="00E600DA">
        <w:trPr>
          <w:tblHeader/>
          <w:jc w:val="center"/>
        </w:trPr>
        <w:tc>
          <w:tcPr>
            <w:tcW w:w="1557" w:type="dxa"/>
            <w:shd w:val="clear" w:color="auto" w:fill="0070C0"/>
            <w:vAlign w:val="center"/>
            <w:hideMark/>
          </w:tcPr>
          <w:p w14:paraId="241F1E40" w14:textId="77777777" w:rsidR="00602BCB" w:rsidRPr="00A01F5C" w:rsidRDefault="00602BCB" w:rsidP="00120AD1">
            <w:pPr>
              <w:pStyle w:val="CS-IBMTableColumnHeader"/>
              <w:jc w:val="left"/>
            </w:pPr>
            <w:r w:rsidRPr="00A01F5C">
              <w:t>Consortium QA Responsibility (Sec. 2.6.3)</w:t>
            </w:r>
          </w:p>
        </w:tc>
        <w:tc>
          <w:tcPr>
            <w:tcW w:w="1007" w:type="dxa"/>
            <w:shd w:val="clear" w:color="auto" w:fill="0070C0"/>
            <w:vAlign w:val="center"/>
            <w:hideMark/>
          </w:tcPr>
          <w:p w14:paraId="58D845EE" w14:textId="77777777" w:rsidR="00602BCB" w:rsidRPr="00DA0139" w:rsidRDefault="00602BCB" w:rsidP="00120AD1">
            <w:pPr>
              <w:pStyle w:val="CS-IBMTableColumnHeader"/>
              <w:jc w:val="left"/>
            </w:pPr>
            <w:r w:rsidRPr="00DA0139">
              <w:t>QA Project Manager</w:t>
            </w:r>
          </w:p>
        </w:tc>
        <w:tc>
          <w:tcPr>
            <w:tcW w:w="1160" w:type="dxa"/>
            <w:shd w:val="clear" w:color="auto" w:fill="0070C0"/>
            <w:vAlign w:val="center"/>
            <w:hideMark/>
          </w:tcPr>
          <w:p w14:paraId="7BFF9CA4" w14:textId="77777777" w:rsidR="00602BCB" w:rsidRPr="00DA0139" w:rsidRDefault="00602BCB" w:rsidP="00120AD1">
            <w:pPr>
              <w:pStyle w:val="CS-IBMTableColumnHeader"/>
              <w:jc w:val="left"/>
            </w:pPr>
            <w:r w:rsidRPr="00DA0139">
              <w:t>QA Test Manager</w:t>
            </w:r>
          </w:p>
        </w:tc>
        <w:tc>
          <w:tcPr>
            <w:tcW w:w="1130" w:type="dxa"/>
            <w:shd w:val="clear" w:color="auto" w:fill="0070C0"/>
            <w:vAlign w:val="center"/>
            <w:hideMark/>
          </w:tcPr>
          <w:p w14:paraId="18292FF9" w14:textId="77777777" w:rsidR="00602BCB" w:rsidRPr="00DA0139" w:rsidRDefault="00602BCB" w:rsidP="00120AD1">
            <w:pPr>
              <w:pStyle w:val="CS-IBMTableColumnHeader"/>
              <w:jc w:val="left"/>
            </w:pPr>
            <w:r w:rsidRPr="00DA0139">
              <w:t>Functional Manager</w:t>
            </w:r>
          </w:p>
        </w:tc>
        <w:tc>
          <w:tcPr>
            <w:tcW w:w="1060" w:type="dxa"/>
            <w:shd w:val="clear" w:color="auto" w:fill="0070C0"/>
            <w:vAlign w:val="center"/>
            <w:hideMark/>
          </w:tcPr>
          <w:p w14:paraId="7F22289D" w14:textId="77777777" w:rsidR="00602BCB" w:rsidRPr="00DA0139" w:rsidRDefault="00602BCB" w:rsidP="00120AD1">
            <w:pPr>
              <w:pStyle w:val="CS-IBMTableColumnHeader"/>
              <w:jc w:val="left"/>
            </w:pPr>
            <w:r w:rsidRPr="00DA0139">
              <w:t>Technical Manager</w:t>
            </w:r>
          </w:p>
        </w:tc>
        <w:tc>
          <w:tcPr>
            <w:tcW w:w="1365" w:type="dxa"/>
            <w:shd w:val="clear" w:color="auto" w:fill="0070C0"/>
            <w:vAlign w:val="center"/>
            <w:hideMark/>
          </w:tcPr>
          <w:p w14:paraId="5C7D01F9" w14:textId="77777777" w:rsidR="00602BCB" w:rsidRPr="00DA0139" w:rsidRDefault="00602BCB" w:rsidP="00120AD1">
            <w:pPr>
              <w:pStyle w:val="CS-IBMTableColumnHeader"/>
              <w:jc w:val="left"/>
            </w:pPr>
            <w:r w:rsidRPr="00DA0139">
              <w:t>SMEs (Tech/Cloud/Sec)</w:t>
            </w:r>
          </w:p>
        </w:tc>
        <w:tc>
          <w:tcPr>
            <w:tcW w:w="1264" w:type="dxa"/>
            <w:shd w:val="clear" w:color="auto" w:fill="0070C0"/>
            <w:vAlign w:val="center"/>
            <w:hideMark/>
          </w:tcPr>
          <w:p w14:paraId="42C19FDF" w14:textId="77777777" w:rsidR="00602BCB" w:rsidRPr="00DA0139" w:rsidRDefault="00602BCB" w:rsidP="00120AD1">
            <w:pPr>
              <w:pStyle w:val="CS-IBMTableColumnHeader"/>
              <w:jc w:val="left"/>
            </w:pPr>
            <w:r w:rsidRPr="00DA0139">
              <w:t>Testers (Func/Auto/Perf/AI)</w:t>
            </w:r>
          </w:p>
        </w:tc>
        <w:tc>
          <w:tcPr>
            <w:tcW w:w="906" w:type="dxa"/>
            <w:shd w:val="clear" w:color="auto" w:fill="0070C0"/>
            <w:vAlign w:val="center"/>
            <w:hideMark/>
          </w:tcPr>
          <w:p w14:paraId="191F15DD" w14:textId="77777777" w:rsidR="00602BCB" w:rsidRPr="00DA0139" w:rsidRDefault="00602BCB" w:rsidP="00120AD1">
            <w:pPr>
              <w:pStyle w:val="CS-IBMTableColumnHeader"/>
              <w:jc w:val="left"/>
            </w:pPr>
            <w:r w:rsidRPr="00DA0139">
              <w:t>Business Analyst</w:t>
            </w:r>
          </w:p>
        </w:tc>
      </w:tr>
      <w:tr w:rsidR="00E600DA" w:rsidRPr="001446FC" w14:paraId="40C37566" w14:textId="77777777" w:rsidTr="00E600DA">
        <w:trPr>
          <w:jc w:val="center"/>
        </w:trPr>
        <w:tc>
          <w:tcPr>
            <w:tcW w:w="1557" w:type="dxa"/>
            <w:vAlign w:val="center"/>
            <w:hideMark/>
          </w:tcPr>
          <w:p w14:paraId="23130298" w14:textId="77777777" w:rsidR="00602BCB" w:rsidRPr="00A01F5C" w:rsidRDefault="00602BCB" w:rsidP="00E600DA">
            <w:pPr>
              <w:pStyle w:val="CS-IBMTableText"/>
              <w:rPr>
                <w:b/>
              </w:rPr>
            </w:pPr>
            <w:r w:rsidRPr="00A01F5C">
              <w:rPr>
                <w:b/>
              </w:rPr>
              <w:t>Project Management</w:t>
            </w:r>
          </w:p>
        </w:tc>
        <w:tc>
          <w:tcPr>
            <w:tcW w:w="1007" w:type="dxa"/>
            <w:vAlign w:val="center"/>
            <w:hideMark/>
          </w:tcPr>
          <w:p w14:paraId="2B5748C7" w14:textId="77777777" w:rsidR="00602BCB" w:rsidRPr="00DA0139" w:rsidRDefault="00602BCB" w:rsidP="00E600DA">
            <w:pPr>
              <w:pStyle w:val="CS-IBMTableText"/>
              <w:jc w:val="center"/>
            </w:pPr>
            <w:r w:rsidRPr="00DA0139">
              <w:t>A/R</w:t>
            </w:r>
          </w:p>
        </w:tc>
        <w:tc>
          <w:tcPr>
            <w:tcW w:w="1160" w:type="dxa"/>
            <w:vAlign w:val="center"/>
            <w:hideMark/>
          </w:tcPr>
          <w:p w14:paraId="4E8FBFAD" w14:textId="77777777" w:rsidR="00602BCB" w:rsidRPr="00DA0139" w:rsidRDefault="00602BCB" w:rsidP="00E600DA">
            <w:pPr>
              <w:pStyle w:val="CS-IBMTableText"/>
              <w:jc w:val="center"/>
            </w:pPr>
            <w:r w:rsidRPr="00DA0139">
              <w:t>C</w:t>
            </w:r>
          </w:p>
        </w:tc>
        <w:tc>
          <w:tcPr>
            <w:tcW w:w="1130" w:type="dxa"/>
            <w:vAlign w:val="center"/>
            <w:hideMark/>
          </w:tcPr>
          <w:p w14:paraId="7BB93153" w14:textId="77777777" w:rsidR="00602BCB" w:rsidRPr="00DA0139" w:rsidRDefault="00602BCB" w:rsidP="00E600DA">
            <w:pPr>
              <w:pStyle w:val="CS-IBMTableText"/>
              <w:jc w:val="center"/>
            </w:pPr>
            <w:r w:rsidRPr="00DA0139">
              <w:t>C</w:t>
            </w:r>
          </w:p>
        </w:tc>
        <w:tc>
          <w:tcPr>
            <w:tcW w:w="1060" w:type="dxa"/>
            <w:vAlign w:val="center"/>
            <w:hideMark/>
          </w:tcPr>
          <w:p w14:paraId="0AA6496C" w14:textId="77777777" w:rsidR="00602BCB" w:rsidRPr="00DA0139" w:rsidRDefault="00602BCB" w:rsidP="00E600DA">
            <w:pPr>
              <w:pStyle w:val="CS-IBMTableText"/>
              <w:jc w:val="center"/>
            </w:pPr>
            <w:r w:rsidRPr="00DA0139">
              <w:t>C</w:t>
            </w:r>
          </w:p>
        </w:tc>
        <w:tc>
          <w:tcPr>
            <w:tcW w:w="1365" w:type="dxa"/>
            <w:vAlign w:val="center"/>
            <w:hideMark/>
          </w:tcPr>
          <w:p w14:paraId="285B68E9" w14:textId="77777777" w:rsidR="00602BCB" w:rsidRPr="00DA0139" w:rsidRDefault="00602BCB" w:rsidP="00E600DA">
            <w:pPr>
              <w:pStyle w:val="CS-IBMTableText"/>
              <w:jc w:val="center"/>
            </w:pPr>
            <w:r w:rsidRPr="00DA0139">
              <w:t>I</w:t>
            </w:r>
          </w:p>
        </w:tc>
        <w:tc>
          <w:tcPr>
            <w:tcW w:w="1264" w:type="dxa"/>
            <w:vAlign w:val="center"/>
            <w:hideMark/>
          </w:tcPr>
          <w:p w14:paraId="55D480B8" w14:textId="77777777" w:rsidR="00602BCB" w:rsidRPr="00DA0139" w:rsidRDefault="00602BCB" w:rsidP="00E600DA">
            <w:pPr>
              <w:pStyle w:val="CS-IBMTableText"/>
              <w:jc w:val="center"/>
            </w:pPr>
            <w:r w:rsidRPr="00DA0139">
              <w:t>I</w:t>
            </w:r>
          </w:p>
        </w:tc>
        <w:tc>
          <w:tcPr>
            <w:tcW w:w="906" w:type="dxa"/>
            <w:vAlign w:val="center"/>
            <w:hideMark/>
          </w:tcPr>
          <w:p w14:paraId="545AF706" w14:textId="77777777" w:rsidR="00602BCB" w:rsidRPr="00DA0139" w:rsidRDefault="00602BCB" w:rsidP="00E600DA">
            <w:pPr>
              <w:pStyle w:val="CS-IBMTableText"/>
              <w:jc w:val="center"/>
            </w:pPr>
            <w:r w:rsidRPr="00DA0139">
              <w:t>C</w:t>
            </w:r>
          </w:p>
        </w:tc>
      </w:tr>
      <w:tr w:rsidR="00E600DA" w:rsidRPr="001446FC" w14:paraId="072E7677" w14:textId="77777777" w:rsidTr="00E600DA">
        <w:trPr>
          <w:jc w:val="center"/>
        </w:trPr>
        <w:tc>
          <w:tcPr>
            <w:tcW w:w="1557" w:type="dxa"/>
            <w:vAlign w:val="center"/>
            <w:hideMark/>
          </w:tcPr>
          <w:p w14:paraId="257BAA31" w14:textId="77777777" w:rsidR="00602BCB" w:rsidRPr="00A01F5C" w:rsidRDefault="00602BCB" w:rsidP="00E600DA">
            <w:pPr>
              <w:pStyle w:val="CS-IBMTableText"/>
              <w:rPr>
                <w:b/>
              </w:rPr>
            </w:pPr>
            <w:r w:rsidRPr="00A01F5C">
              <w:rPr>
                <w:b/>
              </w:rPr>
              <w:t>Change Control Board (CCB)</w:t>
            </w:r>
          </w:p>
        </w:tc>
        <w:tc>
          <w:tcPr>
            <w:tcW w:w="1007" w:type="dxa"/>
            <w:vAlign w:val="center"/>
            <w:hideMark/>
          </w:tcPr>
          <w:p w14:paraId="143CCF01" w14:textId="77777777" w:rsidR="00602BCB" w:rsidRPr="00DA0139" w:rsidRDefault="00602BCB" w:rsidP="00E600DA">
            <w:pPr>
              <w:pStyle w:val="CS-IBMTableText"/>
              <w:jc w:val="center"/>
            </w:pPr>
            <w:r w:rsidRPr="00DA0139">
              <w:t>A</w:t>
            </w:r>
          </w:p>
        </w:tc>
        <w:tc>
          <w:tcPr>
            <w:tcW w:w="1160" w:type="dxa"/>
            <w:vAlign w:val="center"/>
            <w:hideMark/>
          </w:tcPr>
          <w:p w14:paraId="7BDE0B7D" w14:textId="77777777" w:rsidR="00602BCB" w:rsidRPr="00DA0139" w:rsidRDefault="00602BCB" w:rsidP="00E600DA">
            <w:pPr>
              <w:pStyle w:val="CS-IBMTableText"/>
              <w:jc w:val="center"/>
            </w:pPr>
            <w:r w:rsidRPr="00DA0139">
              <w:t>R</w:t>
            </w:r>
          </w:p>
        </w:tc>
        <w:tc>
          <w:tcPr>
            <w:tcW w:w="1130" w:type="dxa"/>
            <w:vAlign w:val="center"/>
            <w:hideMark/>
          </w:tcPr>
          <w:p w14:paraId="106BA81C" w14:textId="77777777" w:rsidR="00602BCB" w:rsidRPr="00DA0139" w:rsidRDefault="00602BCB" w:rsidP="00E600DA">
            <w:pPr>
              <w:pStyle w:val="CS-IBMTableText"/>
              <w:jc w:val="center"/>
            </w:pPr>
            <w:r w:rsidRPr="00DA0139">
              <w:t>C</w:t>
            </w:r>
          </w:p>
        </w:tc>
        <w:tc>
          <w:tcPr>
            <w:tcW w:w="1060" w:type="dxa"/>
            <w:vAlign w:val="center"/>
            <w:hideMark/>
          </w:tcPr>
          <w:p w14:paraId="0D1CEAA7" w14:textId="77777777" w:rsidR="00602BCB" w:rsidRPr="00DA0139" w:rsidRDefault="00602BCB" w:rsidP="00E600DA">
            <w:pPr>
              <w:pStyle w:val="CS-IBMTableText"/>
              <w:jc w:val="center"/>
            </w:pPr>
            <w:r w:rsidRPr="00DA0139">
              <w:t>C</w:t>
            </w:r>
          </w:p>
        </w:tc>
        <w:tc>
          <w:tcPr>
            <w:tcW w:w="1365" w:type="dxa"/>
            <w:vAlign w:val="center"/>
            <w:hideMark/>
          </w:tcPr>
          <w:p w14:paraId="2962D027" w14:textId="77777777" w:rsidR="00602BCB" w:rsidRPr="00DA0139" w:rsidRDefault="00602BCB" w:rsidP="00E600DA">
            <w:pPr>
              <w:pStyle w:val="CS-IBMTableText"/>
              <w:jc w:val="center"/>
            </w:pPr>
            <w:r w:rsidRPr="00DA0139">
              <w:t>C</w:t>
            </w:r>
          </w:p>
        </w:tc>
        <w:tc>
          <w:tcPr>
            <w:tcW w:w="1264" w:type="dxa"/>
            <w:vAlign w:val="center"/>
            <w:hideMark/>
          </w:tcPr>
          <w:p w14:paraId="4ED82695" w14:textId="77777777" w:rsidR="00602BCB" w:rsidRPr="00DA0139" w:rsidRDefault="00602BCB" w:rsidP="00E600DA">
            <w:pPr>
              <w:pStyle w:val="CS-IBMTableText"/>
              <w:jc w:val="center"/>
            </w:pPr>
            <w:r w:rsidRPr="00DA0139">
              <w:t>I</w:t>
            </w:r>
          </w:p>
        </w:tc>
        <w:tc>
          <w:tcPr>
            <w:tcW w:w="906" w:type="dxa"/>
            <w:vAlign w:val="center"/>
            <w:hideMark/>
          </w:tcPr>
          <w:p w14:paraId="554D07BB" w14:textId="77777777" w:rsidR="00602BCB" w:rsidRPr="00DA0139" w:rsidRDefault="00602BCB" w:rsidP="00E600DA">
            <w:pPr>
              <w:pStyle w:val="CS-IBMTableText"/>
              <w:jc w:val="center"/>
            </w:pPr>
            <w:r w:rsidRPr="00DA0139">
              <w:t>I</w:t>
            </w:r>
          </w:p>
        </w:tc>
      </w:tr>
      <w:tr w:rsidR="00E600DA" w:rsidRPr="001446FC" w14:paraId="60B941EC" w14:textId="77777777" w:rsidTr="00E600DA">
        <w:trPr>
          <w:jc w:val="center"/>
        </w:trPr>
        <w:tc>
          <w:tcPr>
            <w:tcW w:w="1557" w:type="dxa"/>
            <w:vAlign w:val="center"/>
            <w:hideMark/>
          </w:tcPr>
          <w:p w14:paraId="1C836B6E" w14:textId="77777777" w:rsidR="00602BCB" w:rsidRPr="00A01F5C" w:rsidRDefault="00602BCB" w:rsidP="00E600DA">
            <w:pPr>
              <w:pStyle w:val="CS-IBMTableText"/>
              <w:rPr>
                <w:b/>
              </w:rPr>
            </w:pPr>
            <w:r w:rsidRPr="00A01F5C">
              <w:rPr>
                <w:b/>
              </w:rPr>
              <w:t>Defect Management</w:t>
            </w:r>
          </w:p>
        </w:tc>
        <w:tc>
          <w:tcPr>
            <w:tcW w:w="1007" w:type="dxa"/>
            <w:vAlign w:val="center"/>
            <w:hideMark/>
          </w:tcPr>
          <w:p w14:paraId="78BD1746" w14:textId="77777777" w:rsidR="00602BCB" w:rsidRPr="00DA0139" w:rsidRDefault="00602BCB" w:rsidP="00E600DA">
            <w:pPr>
              <w:pStyle w:val="CS-IBMTableText"/>
              <w:jc w:val="center"/>
            </w:pPr>
            <w:r w:rsidRPr="00DA0139">
              <w:t>C</w:t>
            </w:r>
          </w:p>
        </w:tc>
        <w:tc>
          <w:tcPr>
            <w:tcW w:w="1160" w:type="dxa"/>
            <w:vAlign w:val="center"/>
            <w:hideMark/>
          </w:tcPr>
          <w:p w14:paraId="0932E11A" w14:textId="77777777" w:rsidR="00602BCB" w:rsidRPr="00DA0139" w:rsidRDefault="00602BCB" w:rsidP="00E600DA">
            <w:pPr>
              <w:pStyle w:val="CS-IBMTableText"/>
              <w:jc w:val="center"/>
            </w:pPr>
            <w:r w:rsidRPr="00DA0139">
              <w:t>A/R</w:t>
            </w:r>
          </w:p>
        </w:tc>
        <w:tc>
          <w:tcPr>
            <w:tcW w:w="1130" w:type="dxa"/>
            <w:vAlign w:val="center"/>
            <w:hideMark/>
          </w:tcPr>
          <w:p w14:paraId="7FF261E8" w14:textId="77777777" w:rsidR="00602BCB" w:rsidRPr="00DA0139" w:rsidRDefault="00602BCB" w:rsidP="00E600DA">
            <w:pPr>
              <w:pStyle w:val="CS-IBMTableText"/>
              <w:jc w:val="center"/>
            </w:pPr>
            <w:r w:rsidRPr="00DA0139">
              <w:t>C</w:t>
            </w:r>
          </w:p>
        </w:tc>
        <w:tc>
          <w:tcPr>
            <w:tcW w:w="1060" w:type="dxa"/>
            <w:vAlign w:val="center"/>
            <w:hideMark/>
          </w:tcPr>
          <w:p w14:paraId="10A2FBB8" w14:textId="77777777" w:rsidR="00602BCB" w:rsidRPr="00DA0139" w:rsidRDefault="00602BCB" w:rsidP="00E600DA">
            <w:pPr>
              <w:pStyle w:val="CS-IBMTableText"/>
              <w:jc w:val="center"/>
            </w:pPr>
            <w:r w:rsidRPr="00DA0139">
              <w:t>C</w:t>
            </w:r>
          </w:p>
        </w:tc>
        <w:tc>
          <w:tcPr>
            <w:tcW w:w="1365" w:type="dxa"/>
            <w:vAlign w:val="center"/>
            <w:hideMark/>
          </w:tcPr>
          <w:p w14:paraId="579F6DD3" w14:textId="77777777" w:rsidR="00602BCB" w:rsidRPr="00DA0139" w:rsidRDefault="00602BCB" w:rsidP="00E600DA">
            <w:pPr>
              <w:pStyle w:val="CS-IBMTableText"/>
              <w:jc w:val="center"/>
            </w:pPr>
            <w:r w:rsidRPr="00DA0139">
              <w:t>I</w:t>
            </w:r>
          </w:p>
        </w:tc>
        <w:tc>
          <w:tcPr>
            <w:tcW w:w="1264" w:type="dxa"/>
            <w:vAlign w:val="center"/>
            <w:hideMark/>
          </w:tcPr>
          <w:p w14:paraId="1A452965" w14:textId="77777777" w:rsidR="00602BCB" w:rsidRPr="00DA0139" w:rsidRDefault="00602BCB" w:rsidP="00E600DA">
            <w:pPr>
              <w:pStyle w:val="CS-IBMTableText"/>
              <w:jc w:val="center"/>
            </w:pPr>
            <w:r w:rsidRPr="00DA0139">
              <w:t>R</w:t>
            </w:r>
          </w:p>
        </w:tc>
        <w:tc>
          <w:tcPr>
            <w:tcW w:w="906" w:type="dxa"/>
            <w:vAlign w:val="center"/>
            <w:hideMark/>
          </w:tcPr>
          <w:p w14:paraId="6A51D730" w14:textId="77777777" w:rsidR="00602BCB" w:rsidRPr="00DA0139" w:rsidRDefault="00602BCB" w:rsidP="00E600DA">
            <w:pPr>
              <w:pStyle w:val="CS-IBMTableText"/>
              <w:jc w:val="center"/>
            </w:pPr>
            <w:r w:rsidRPr="00DA0139">
              <w:t>I</w:t>
            </w:r>
          </w:p>
        </w:tc>
      </w:tr>
      <w:tr w:rsidR="00E600DA" w:rsidRPr="001446FC" w14:paraId="29009789" w14:textId="77777777" w:rsidTr="00E600DA">
        <w:trPr>
          <w:jc w:val="center"/>
        </w:trPr>
        <w:tc>
          <w:tcPr>
            <w:tcW w:w="1557" w:type="dxa"/>
            <w:vAlign w:val="center"/>
            <w:hideMark/>
          </w:tcPr>
          <w:p w14:paraId="3E22F3BE" w14:textId="77777777" w:rsidR="00602BCB" w:rsidRPr="00A01F5C" w:rsidRDefault="00602BCB" w:rsidP="00E600DA">
            <w:pPr>
              <w:pStyle w:val="CS-IBMTableText"/>
              <w:rPr>
                <w:b/>
              </w:rPr>
            </w:pPr>
            <w:r w:rsidRPr="00A01F5C">
              <w:rPr>
                <w:b/>
              </w:rPr>
              <w:t>Applications Analysis</w:t>
            </w:r>
          </w:p>
        </w:tc>
        <w:tc>
          <w:tcPr>
            <w:tcW w:w="1007" w:type="dxa"/>
            <w:vAlign w:val="center"/>
            <w:hideMark/>
          </w:tcPr>
          <w:p w14:paraId="5DEDA746" w14:textId="77777777" w:rsidR="00602BCB" w:rsidRPr="00DA0139" w:rsidRDefault="00602BCB" w:rsidP="00E600DA">
            <w:pPr>
              <w:pStyle w:val="CS-IBMTableText"/>
              <w:jc w:val="center"/>
            </w:pPr>
            <w:r w:rsidRPr="00DA0139">
              <w:t>C</w:t>
            </w:r>
          </w:p>
        </w:tc>
        <w:tc>
          <w:tcPr>
            <w:tcW w:w="1160" w:type="dxa"/>
            <w:vAlign w:val="center"/>
            <w:hideMark/>
          </w:tcPr>
          <w:p w14:paraId="01370DD0" w14:textId="77777777" w:rsidR="00602BCB" w:rsidRPr="00DA0139" w:rsidRDefault="00602BCB" w:rsidP="00E600DA">
            <w:pPr>
              <w:pStyle w:val="CS-IBMTableText"/>
              <w:jc w:val="center"/>
            </w:pPr>
            <w:r w:rsidRPr="00DA0139">
              <w:t>R</w:t>
            </w:r>
          </w:p>
        </w:tc>
        <w:tc>
          <w:tcPr>
            <w:tcW w:w="1130" w:type="dxa"/>
            <w:vAlign w:val="center"/>
            <w:hideMark/>
          </w:tcPr>
          <w:p w14:paraId="38198ED3" w14:textId="77777777" w:rsidR="00602BCB" w:rsidRPr="00DA0139" w:rsidRDefault="00602BCB" w:rsidP="00E600DA">
            <w:pPr>
              <w:pStyle w:val="CS-IBMTableText"/>
              <w:jc w:val="center"/>
            </w:pPr>
            <w:r w:rsidRPr="00DA0139">
              <w:t>A/R</w:t>
            </w:r>
          </w:p>
        </w:tc>
        <w:tc>
          <w:tcPr>
            <w:tcW w:w="1060" w:type="dxa"/>
            <w:vAlign w:val="center"/>
            <w:hideMark/>
          </w:tcPr>
          <w:p w14:paraId="4788F936" w14:textId="77777777" w:rsidR="00602BCB" w:rsidRPr="00DA0139" w:rsidRDefault="00602BCB" w:rsidP="00E600DA">
            <w:pPr>
              <w:pStyle w:val="CS-IBMTableText"/>
              <w:jc w:val="center"/>
            </w:pPr>
            <w:r w:rsidRPr="00DA0139">
              <w:t>C</w:t>
            </w:r>
          </w:p>
        </w:tc>
        <w:tc>
          <w:tcPr>
            <w:tcW w:w="1365" w:type="dxa"/>
            <w:vAlign w:val="center"/>
            <w:hideMark/>
          </w:tcPr>
          <w:p w14:paraId="6CCD79A3" w14:textId="77777777" w:rsidR="00602BCB" w:rsidRPr="00DA0139" w:rsidRDefault="00602BCB" w:rsidP="00E600DA">
            <w:pPr>
              <w:pStyle w:val="CS-IBMTableText"/>
              <w:jc w:val="center"/>
            </w:pPr>
            <w:r w:rsidRPr="00DA0139">
              <w:t>I</w:t>
            </w:r>
          </w:p>
        </w:tc>
        <w:tc>
          <w:tcPr>
            <w:tcW w:w="1264" w:type="dxa"/>
            <w:vAlign w:val="center"/>
            <w:hideMark/>
          </w:tcPr>
          <w:p w14:paraId="21C04712" w14:textId="77777777" w:rsidR="00602BCB" w:rsidRPr="00DA0139" w:rsidRDefault="00602BCB" w:rsidP="00E600DA">
            <w:pPr>
              <w:pStyle w:val="CS-IBMTableText"/>
              <w:jc w:val="center"/>
            </w:pPr>
            <w:r w:rsidRPr="00DA0139">
              <w:t>R</w:t>
            </w:r>
          </w:p>
        </w:tc>
        <w:tc>
          <w:tcPr>
            <w:tcW w:w="906" w:type="dxa"/>
            <w:vAlign w:val="center"/>
            <w:hideMark/>
          </w:tcPr>
          <w:p w14:paraId="687343E5" w14:textId="77777777" w:rsidR="00602BCB" w:rsidRPr="00DA0139" w:rsidRDefault="00602BCB" w:rsidP="00E600DA">
            <w:pPr>
              <w:pStyle w:val="CS-IBMTableText"/>
              <w:jc w:val="center"/>
            </w:pPr>
            <w:r w:rsidRPr="00DA0139">
              <w:t>C</w:t>
            </w:r>
          </w:p>
        </w:tc>
      </w:tr>
      <w:tr w:rsidR="00E600DA" w:rsidRPr="001446FC" w14:paraId="1854DA7E" w14:textId="77777777" w:rsidTr="00E600DA">
        <w:trPr>
          <w:jc w:val="center"/>
        </w:trPr>
        <w:tc>
          <w:tcPr>
            <w:tcW w:w="1557" w:type="dxa"/>
            <w:vAlign w:val="center"/>
            <w:hideMark/>
          </w:tcPr>
          <w:p w14:paraId="16C23977" w14:textId="77777777" w:rsidR="00602BCB" w:rsidRPr="00A01F5C" w:rsidRDefault="00602BCB" w:rsidP="00E600DA">
            <w:pPr>
              <w:pStyle w:val="CS-IBMTableText"/>
              <w:rPr>
                <w:b/>
              </w:rPr>
            </w:pPr>
            <w:r w:rsidRPr="00A01F5C">
              <w:rPr>
                <w:b/>
              </w:rPr>
              <w:t>Performance Monitoring &amp; Reporting</w:t>
            </w:r>
          </w:p>
        </w:tc>
        <w:tc>
          <w:tcPr>
            <w:tcW w:w="1007" w:type="dxa"/>
            <w:vAlign w:val="center"/>
            <w:hideMark/>
          </w:tcPr>
          <w:p w14:paraId="342343C7" w14:textId="77777777" w:rsidR="00602BCB" w:rsidRPr="00DA0139" w:rsidRDefault="00602BCB" w:rsidP="00E600DA">
            <w:pPr>
              <w:pStyle w:val="CS-IBMTableText"/>
              <w:jc w:val="center"/>
            </w:pPr>
            <w:r w:rsidRPr="00DA0139">
              <w:t>C</w:t>
            </w:r>
          </w:p>
        </w:tc>
        <w:tc>
          <w:tcPr>
            <w:tcW w:w="1160" w:type="dxa"/>
            <w:vAlign w:val="center"/>
            <w:hideMark/>
          </w:tcPr>
          <w:p w14:paraId="47EBEFF3" w14:textId="77777777" w:rsidR="00602BCB" w:rsidRPr="00DA0139" w:rsidRDefault="00602BCB" w:rsidP="00E600DA">
            <w:pPr>
              <w:pStyle w:val="CS-IBMTableText"/>
              <w:jc w:val="center"/>
            </w:pPr>
            <w:r w:rsidRPr="00DA0139">
              <w:t>R</w:t>
            </w:r>
          </w:p>
        </w:tc>
        <w:tc>
          <w:tcPr>
            <w:tcW w:w="1130" w:type="dxa"/>
            <w:vAlign w:val="center"/>
            <w:hideMark/>
          </w:tcPr>
          <w:p w14:paraId="41612222" w14:textId="77777777" w:rsidR="00602BCB" w:rsidRPr="00DA0139" w:rsidRDefault="00602BCB" w:rsidP="00E600DA">
            <w:pPr>
              <w:pStyle w:val="CS-IBMTableText"/>
              <w:jc w:val="center"/>
            </w:pPr>
            <w:r w:rsidRPr="00DA0139">
              <w:t>I</w:t>
            </w:r>
          </w:p>
        </w:tc>
        <w:tc>
          <w:tcPr>
            <w:tcW w:w="1060" w:type="dxa"/>
            <w:vAlign w:val="center"/>
            <w:hideMark/>
          </w:tcPr>
          <w:p w14:paraId="4667388F" w14:textId="77777777" w:rsidR="00602BCB" w:rsidRPr="00DA0139" w:rsidRDefault="00602BCB" w:rsidP="00E600DA">
            <w:pPr>
              <w:pStyle w:val="CS-IBMTableText"/>
              <w:jc w:val="center"/>
            </w:pPr>
            <w:r w:rsidRPr="00DA0139">
              <w:t>A/R</w:t>
            </w:r>
          </w:p>
        </w:tc>
        <w:tc>
          <w:tcPr>
            <w:tcW w:w="1365" w:type="dxa"/>
            <w:vAlign w:val="center"/>
            <w:hideMark/>
          </w:tcPr>
          <w:p w14:paraId="00F1A75C" w14:textId="77777777" w:rsidR="00602BCB" w:rsidRPr="00DA0139" w:rsidRDefault="00602BCB" w:rsidP="00E600DA">
            <w:pPr>
              <w:pStyle w:val="CS-IBMTableText"/>
              <w:jc w:val="center"/>
            </w:pPr>
            <w:r w:rsidRPr="00DA0139">
              <w:t>C</w:t>
            </w:r>
          </w:p>
        </w:tc>
        <w:tc>
          <w:tcPr>
            <w:tcW w:w="1264" w:type="dxa"/>
            <w:vAlign w:val="center"/>
            <w:hideMark/>
          </w:tcPr>
          <w:p w14:paraId="51AE2CFE" w14:textId="77777777" w:rsidR="00602BCB" w:rsidRPr="00DA0139" w:rsidRDefault="00602BCB" w:rsidP="00E600DA">
            <w:pPr>
              <w:pStyle w:val="CS-IBMTableText"/>
              <w:jc w:val="center"/>
            </w:pPr>
            <w:r w:rsidRPr="00DA0139">
              <w:t>R</w:t>
            </w:r>
          </w:p>
        </w:tc>
        <w:tc>
          <w:tcPr>
            <w:tcW w:w="906" w:type="dxa"/>
            <w:vAlign w:val="center"/>
            <w:hideMark/>
          </w:tcPr>
          <w:p w14:paraId="2200EB70" w14:textId="77777777" w:rsidR="00602BCB" w:rsidRPr="00DA0139" w:rsidRDefault="00602BCB" w:rsidP="00E600DA">
            <w:pPr>
              <w:pStyle w:val="CS-IBMTableText"/>
              <w:jc w:val="center"/>
            </w:pPr>
            <w:r w:rsidRPr="00DA0139">
              <w:t>I</w:t>
            </w:r>
          </w:p>
        </w:tc>
      </w:tr>
      <w:tr w:rsidR="00E600DA" w:rsidRPr="001446FC" w14:paraId="5344F7C6" w14:textId="77777777" w:rsidTr="00E600DA">
        <w:trPr>
          <w:jc w:val="center"/>
        </w:trPr>
        <w:tc>
          <w:tcPr>
            <w:tcW w:w="1557" w:type="dxa"/>
            <w:vAlign w:val="center"/>
            <w:hideMark/>
          </w:tcPr>
          <w:p w14:paraId="0A4ECD19" w14:textId="77777777" w:rsidR="00602BCB" w:rsidRPr="00A01F5C" w:rsidRDefault="00602BCB" w:rsidP="00E600DA">
            <w:pPr>
              <w:pStyle w:val="CS-IBMTableText"/>
              <w:rPr>
                <w:b/>
              </w:rPr>
            </w:pPr>
            <w:r w:rsidRPr="00A01F5C">
              <w:rPr>
                <w:b/>
              </w:rPr>
              <w:t>Procurement (H/W &amp; S/W)</w:t>
            </w:r>
          </w:p>
        </w:tc>
        <w:tc>
          <w:tcPr>
            <w:tcW w:w="1007" w:type="dxa"/>
            <w:vAlign w:val="center"/>
            <w:hideMark/>
          </w:tcPr>
          <w:p w14:paraId="0C1EE9D7" w14:textId="77777777" w:rsidR="00602BCB" w:rsidRPr="00DA0139" w:rsidRDefault="00602BCB" w:rsidP="00E600DA">
            <w:pPr>
              <w:pStyle w:val="CS-IBMTableText"/>
              <w:jc w:val="center"/>
            </w:pPr>
            <w:r w:rsidRPr="00DA0139">
              <w:t>C</w:t>
            </w:r>
          </w:p>
        </w:tc>
        <w:tc>
          <w:tcPr>
            <w:tcW w:w="1160" w:type="dxa"/>
            <w:vAlign w:val="center"/>
            <w:hideMark/>
          </w:tcPr>
          <w:p w14:paraId="18FD8199" w14:textId="77777777" w:rsidR="00602BCB" w:rsidRPr="00DA0139" w:rsidRDefault="00602BCB" w:rsidP="00E600DA">
            <w:pPr>
              <w:pStyle w:val="CS-IBMTableText"/>
              <w:jc w:val="center"/>
            </w:pPr>
            <w:r w:rsidRPr="00DA0139">
              <w:t>I</w:t>
            </w:r>
          </w:p>
        </w:tc>
        <w:tc>
          <w:tcPr>
            <w:tcW w:w="1130" w:type="dxa"/>
            <w:vAlign w:val="center"/>
            <w:hideMark/>
          </w:tcPr>
          <w:p w14:paraId="50618FAA" w14:textId="77777777" w:rsidR="00602BCB" w:rsidRPr="00DA0139" w:rsidRDefault="00602BCB" w:rsidP="00E600DA">
            <w:pPr>
              <w:pStyle w:val="CS-IBMTableText"/>
              <w:jc w:val="center"/>
            </w:pPr>
            <w:r w:rsidRPr="00DA0139">
              <w:t>I</w:t>
            </w:r>
          </w:p>
        </w:tc>
        <w:tc>
          <w:tcPr>
            <w:tcW w:w="1060" w:type="dxa"/>
            <w:vAlign w:val="center"/>
            <w:hideMark/>
          </w:tcPr>
          <w:p w14:paraId="49D158BB" w14:textId="77777777" w:rsidR="00602BCB" w:rsidRPr="00DA0139" w:rsidRDefault="00602BCB" w:rsidP="00E600DA">
            <w:pPr>
              <w:pStyle w:val="CS-IBMTableText"/>
              <w:jc w:val="center"/>
            </w:pPr>
            <w:r w:rsidRPr="00DA0139">
              <w:t>R</w:t>
            </w:r>
          </w:p>
        </w:tc>
        <w:tc>
          <w:tcPr>
            <w:tcW w:w="1365" w:type="dxa"/>
            <w:vAlign w:val="center"/>
            <w:hideMark/>
          </w:tcPr>
          <w:p w14:paraId="7F45CDF4" w14:textId="77777777" w:rsidR="00602BCB" w:rsidRPr="00DA0139" w:rsidRDefault="00602BCB" w:rsidP="00E600DA">
            <w:pPr>
              <w:pStyle w:val="CS-IBMTableText"/>
              <w:jc w:val="center"/>
            </w:pPr>
            <w:r w:rsidRPr="00DA0139">
              <w:t>A/R</w:t>
            </w:r>
          </w:p>
        </w:tc>
        <w:tc>
          <w:tcPr>
            <w:tcW w:w="1264" w:type="dxa"/>
            <w:vAlign w:val="center"/>
            <w:hideMark/>
          </w:tcPr>
          <w:p w14:paraId="33FB098B" w14:textId="77777777" w:rsidR="00602BCB" w:rsidRPr="00DA0139" w:rsidRDefault="00602BCB" w:rsidP="00E600DA">
            <w:pPr>
              <w:pStyle w:val="CS-IBMTableText"/>
              <w:jc w:val="center"/>
            </w:pPr>
            <w:r w:rsidRPr="00DA0139">
              <w:t>I</w:t>
            </w:r>
          </w:p>
        </w:tc>
        <w:tc>
          <w:tcPr>
            <w:tcW w:w="906" w:type="dxa"/>
            <w:vAlign w:val="center"/>
            <w:hideMark/>
          </w:tcPr>
          <w:p w14:paraId="40A9F5BC" w14:textId="77777777" w:rsidR="00602BCB" w:rsidRPr="00DA0139" w:rsidRDefault="00602BCB" w:rsidP="00E600DA">
            <w:pPr>
              <w:pStyle w:val="CS-IBMTableText"/>
              <w:jc w:val="center"/>
            </w:pPr>
            <w:r w:rsidRPr="00DA0139">
              <w:t>I</w:t>
            </w:r>
          </w:p>
        </w:tc>
      </w:tr>
      <w:tr w:rsidR="00E600DA" w:rsidRPr="001446FC" w14:paraId="0FD0BB2E" w14:textId="77777777" w:rsidTr="00E600DA">
        <w:trPr>
          <w:jc w:val="center"/>
        </w:trPr>
        <w:tc>
          <w:tcPr>
            <w:tcW w:w="1557" w:type="dxa"/>
            <w:vAlign w:val="center"/>
            <w:hideMark/>
          </w:tcPr>
          <w:p w14:paraId="17E255E7" w14:textId="77777777" w:rsidR="00602BCB" w:rsidRPr="00A01F5C" w:rsidRDefault="00602BCB" w:rsidP="00E600DA">
            <w:pPr>
              <w:pStyle w:val="CS-IBMTableText"/>
              <w:rPr>
                <w:b/>
              </w:rPr>
            </w:pPr>
            <w:r w:rsidRPr="00A01F5C">
              <w:rPr>
                <w:b/>
              </w:rPr>
              <w:t>Operations Mgmt (BC/DR, Monitoring)</w:t>
            </w:r>
          </w:p>
        </w:tc>
        <w:tc>
          <w:tcPr>
            <w:tcW w:w="1007" w:type="dxa"/>
            <w:vAlign w:val="center"/>
            <w:hideMark/>
          </w:tcPr>
          <w:p w14:paraId="610632C4" w14:textId="77777777" w:rsidR="00602BCB" w:rsidRPr="00DA0139" w:rsidRDefault="00602BCB" w:rsidP="00E600DA">
            <w:pPr>
              <w:pStyle w:val="CS-IBMTableText"/>
              <w:jc w:val="center"/>
            </w:pPr>
            <w:r w:rsidRPr="00DA0139">
              <w:t>C</w:t>
            </w:r>
          </w:p>
        </w:tc>
        <w:tc>
          <w:tcPr>
            <w:tcW w:w="1160" w:type="dxa"/>
            <w:vAlign w:val="center"/>
            <w:hideMark/>
          </w:tcPr>
          <w:p w14:paraId="45D67DB7" w14:textId="77777777" w:rsidR="00602BCB" w:rsidRPr="00DA0139" w:rsidRDefault="00602BCB" w:rsidP="00E600DA">
            <w:pPr>
              <w:pStyle w:val="CS-IBMTableText"/>
              <w:jc w:val="center"/>
            </w:pPr>
            <w:r w:rsidRPr="00DA0139">
              <w:t>I</w:t>
            </w:r>
          </w:p>
        </w:tc>
        <w:tc>
          <w:tcPr>
            <w:tcW w:w="1130" w:type="dxa"/>
            <w:vAlign w:val="center"/>
            <w:hideMark/>
          </w:tcPr>
          <w:p w14:paraId="50A1C0A1" w14:textId="77777777" w:rsidR="00602BCB" w:rsidRPr="00DA0139" w:rsidRDefault="00602BCB" w:rsidP="00E600DA">
            <w:pPr>
              <w:pStyle w:val="CS-IBMTableText"/>
              <w:jc w:val="center"/>
            </w:pPr>
            <w:r w:rsidRPr="00DA0139">
              <w:t>I</w:t>
            </w:r>
          </w:p>
        </w:tc>
        <w:tc>
          <w:tcPr>
            <w:tcW w:w="1060" w:type="dxa"/>
            <w:vAlign w:val="center"/>
            <w:hideMark/>
          </w:tcPr>
          <w:p w14:paraId="6867B096" w14:textId="77777777" w:rsidR="00602BCB" w:rsidRPr="00DA0139" w:rsidRDefault="00602BCB" w:rsidP="00E600DA">
            <w:pPr>
              <w:pStyle w:val="CS-IBMTableText"/>
              <w:jc w:val="center"/>
            </w:pPr>
            <w:r w:rsidRPr="00DA0139">
              <w:t>R</w:t>
            </w:r>
          </w:p>
        </w:tc>
        <w:tc>
          <w:tcPr>
            <w:tcW w:w="1365" w:type="dxa"/>
            <w:vAlign w:val="center"/>
            <w:hideMark/>
          </w:tcPr>
          <w:p w14:paraId="6CEE4AFF" w14:textId="77777777" w:rsidR="00602BCB" w:rsidRPr="00DA0139" w:rsidRDefault="00602BCB" w:rsidP="00E600DA">
            <w:pPr>
              <w:pStyle w:val="CS-IBMTableText"/>
              <w:jc w:val="center"/>
            </w:pPr>
            <w:r w:rsidRPr="00DA0139">
              <w:t>A/R</w:t>
            </w:r>
          </w:p>
        </w:tc>
        <w:tc>
          <w:tcPr>
            <w:tcW w:w="1264" w:type="dxa"/>
            <w:vAlign w:val="center"/>
            <w:hideMark/>
          </w:tcPr>
          <w:p w14:paraId="0CC0170B" w14:textId="77777777" w:rsidR="00602BCB" w:rsidRPr="00DA0139" w:rsidRDefault="00602BCB" w:rsidP="00E600DA">
            <w:pPr>
              <w:pStyle w:val="CS-IBMTableText"/>
              <w:jc w:val="center"/>
            </w:pPr>
            <w:r w:rsidRPr="00DA0139">
              <w:t>I</w:t>
            </w:r>
          </w:p>
        </w:tc>
        <w:tc>
          <w:tcPr>
            <w:tcW w:w="906" w:type="dxa"/>
            <w:vAlign w:val="center"/>
            <w:hideMark/>
          </w:tcPr>
          <w:p w14:paraId="4040C4F5" w14:textId="77777777" w:rsidR="00602BCB" w:rsidRPr="00DA0139" w:rsidRDefault="00602BCB" w:rsidP="00E600DA">
            <w:pPr>
              <w:pStyle w:val="CS-IBMTableText"/>
              <w:jc w:val="center"/>
            </w:pPr>
            <w:r w:rsidRPr="00DA0139">
              <w:t>I</w:t>
            </w:r>
          </w:p>
        </w:tc>
      </w:tr>
      <w:tr w:rsidR="00E600DA" w:rsidRPr="001446FC" w14:paraId="784911A5" w14:textId="77777777" w:rsidTr="00E600DA">
        <w:trPr>
          <w:jc w:val="center"/>
        </w:trPr>
        <w:tc>
          <w:tcPr>
            <w:tcW w:w="1557" w:type="dxa"/>
            <w:vAlign w:val="center"/>
            <w:hideMark/>
          </w:tcPr>
          <w:p w14:paraId="55A994D3" w14:textId="77777777" w:rsidR="00602BCB" w:rsidRPr="00A01F5C" w:rsidRDefault="00602BCB" w:rsidP="00E600DA">
            <w:pPr>
              <w:pStyle w:val="CS-IBMTableText"/>
              <w:rPr>
                <w:b/>
              </w:rPr>
            </w:pPr>
            <w:r w:rsidRPr="00A01F5C">
              <w:rPr>
                <w:b/>
              </w:rPr>
              <w:t>Batch Support</w:t>
            </w:r>
          </w:p>
        </w:tc>
        <w:tc>
          <w:tcPr>
            <w:tcW w:w="1007" w:type="dxa"/>
            <w:vAlign w:val="center"/>
            <w:hideMark/>
          </w:tcPr>
          <w:p w14:paraId="65BF3692" w14:textId="77777777" w:rsidR="00602BCB" w:rsidRPr="00DA0139" w:rsidRDefault="00602BCB" w:rsidP="00E600DA">
            <w:pPr>
              <w:pStyle w:val="CS-IBMTableText"/>
              <w:jc w:val="center"/>
            </w:pPr>
            <w:r w:rsidRPr="00DA0139">
              <w:t>I</w:t>
            </w:r>
          </w:p>
        </w:tc>
        <w:tc>
          <w:tcPr>
            <w:tcW w:w="1160" w:type="dxa"/>
            <w:vAlign w:val="center"/>
            <w:hideMark/>
          </w:tcPr>
          <w:p w14:paraId="739D69A9" w14:textId="77777777" w:rsidR="00602BCB" w:rsidRPr="00DA0139" w:rsidRDefault="00602BCB" w:rsidP="00E600DA">
            <w:pPr>
              <w:pStyle w:val="CS-IBMTableText"/>
              <w:jc w:val="center"/>
            </w:pPr>
            <w:r w:rsidRPr="00DA0139">
              <w:t>I</w:t>
            </w:r>
          </w:p>
        </w:tc>
        <w:tc>
          <w:tcPr>
            <w:tcW w:w="1130" w:type="dxa"/>
            <w:vAlign w:val="center"/>
            <w:hideMark/>
          </w:tcPr>
          <w:p w14:paraId="78EB6470" w14:textId="77777777" w:rsidR="00602BCB" w:rsidRPr="00DA0139" w:rsidRDefault="00602BCB" w:rsidP="00E600DA">
            <w:pPr>
              <w:pStyle w:val="CS-IBMTableText"/>
              <w:jc w:val="center"/>
            </w:pPr>
            <w:r w:rsidRPr="00DA0139">
              <w:t>I</w:t>
            </w:r>
          </w:p>
        </w:tc>
        <w:tc>
          <w:tcPr>
            <w:tcW w:w="1060" w:type="dxa"/>
            <w:vAlign w:val="center"/>
            <w:hideMark/>
          </w:tcPr>
          <w:p w14:paraId="79791A30" w14:textId="77777777" w:rsidR="00602BCB" w:rsidRPr="00DA0139" w:rsidRDefault="00602BCB" w:rsidP="00E600DA">
            <w:pPr>
              <w:pStyle w:val="CS-IBMTableText"/>
              <w:jc w:val="center"/>
            </w:pPr>
            <w:r w:rsidRPr="00DA0139">
              <w:t>R</w:t>
            </w:r>
          </w:p>
        </w:tc>
        <w:tc>
          <w:tcPr>
            <w:tcW w:w="1365" w:type="dxa"/>
            <w:vAlign w:val="center"/>
            <w:hideMark/>
          </w:tcPr>
          <w:p w14:paraId="35EEAD3B" w14:textId="77777777" w:rsidR="00602BCB" w:rsidRPr="00DA0139" w:rsidRDefault="00602BCB" w:rsidP="00E600DA">
            <w:pPr>
              <w:pStyle w:val="CS-IBMTableText"/>
              <w:jc w:val="center"/>
            </w:pPr>
            <w:r w:rsidRPr="00DA0139">
              <w:t>C</w:t>
            </w:r>
          </w:p>
        </w:tc>
        <w:tc>
          <w:tcPr>
            <w:tcW w:w="1264" w:type="dxa"/>
            <w:vAlign w:val="center"/>
            <w:hideMark/>
          </w:tcPr>
          <w:p w14:paraId="20788BC6" w14:textId="77777777" w:rsidR="00602BCB" w:rsidRPr="00DA0139" w:rsidRDefault="00602BCB" w:rsidP="00E600DA">
            <w:pPr>
              <w:pStyle w:val="CS-IBMTableText"/>
              <w:jc w:val="center"/>
            </w:pPr>
            <w:r w:rsidRPr="00DA0139">
              <w:t>A/R</w:t>
            </w:r>
          </w:p>
        </w:tc>
        <w:tc>
          <w:tcPr>
            <w:tcW w:w="906" w:type="dxa"/>
            <w:vAlign w:val="center"/>
            <w:hideMark/>
          </w:tcPr>
          <w:p w14:paraId="4B96EE84" w14:textId="77777777" w:rsidR="00602BCB" w:rsidRPr="00DA0139" w:rsidRDefault="00602BCB" w:rsidP="00E600DA">
            <w:pPr>
              <w:pStyle w:val="CS-IBMTableText"/>
              <w:jc w:val="center"/>
            </w:pPr>
            <w:r w:rsidRPr="00DA0139">
              <w:t>I</w:t>
            </w:r>
          </w:p>
        </w:tc>
      </w:tr>
      <w:tr w:rsidR="00E600DA" w:rsidRPr="001446FC" w14:paraId="52C77CB5" w14:textId="77777777" w:rsidTr="00E600DA">
        <w:trPr>
          <w:jc w:val="center"/>
        </w:trPr>
        <w:tc>
          <w:tcPr>
            <w:tcW w:w="1557" w:type="dxa"/>
            <w:vAlign w:val="center"/>
            <w:hideMark/>
          </w:tcPr>
          <w:p w14:paraId="2636E306" w14:textId="77777777" w:rsidR="00602BCB" w:rsidRPr="00A01F5C" w:rsidRDefault="00602BCB" w:rsidP="00E600DA">
            <w:pPr>
              <w:pStyle w:val="CS-IBMTableText"/>
              <w:rPr>
                <w:b/>
              </w:rPr>
            </w:pPr>
            <w:r w:rsidRPr="00A01F5C">
              <w:rPr>
                <w:b/>
              </w:rPr>
              <w:t>Configuration Management</w:t>
            </w:r>
          </w:p>
        </w:tc>
        <w:tc>
          <w:tcPr>
            <w:tcW w:w="1007" w:type="dxa"/>
            <w:vAlign w:val="center"/>
            <w:hideMark/>
          </w:tcPr>
          <w:p w14:paraId="22B02F3A" w14:textId="77777777" w:rsidR="00602BCB" w:rsidRPr="00DA0139" w:rsidRDefault="00602BCB" w:rsidP="00E600DA">
            <w:pPr>
              <w:pStyle w:val="CS-IBMTableText"/>
              <w:jc w:val="center"/>
            </w:pPr>
            <w:r w:rsidRPr="00DA0139">
              <w:t>C</w:t>
            </w:r>
          </w:p>
        </w:tc>
        <w:tc>
          <w:tcPr>
            <w:tcW w:w="1160" w:type="dxa"/>
            <w:vAlign w:val="center"/>
            <w:hideMark/>
          </w:tcPr>
          <w:p w14:paraId="5C1099F0" w14:textId="77777777" w:rsidR="00602BCB" w:rsidRPr="00DA0139" w:rsidRDefault="00602BCB" w:rsidP="00E600DA">
            <w:pPr>
              <w:pStyle w:val="CS-IBMTableText"/>
              <w:jc w:val="center"/>
            </w:pPr>
            <w:r w:rsidRPr="00DA0139">
              <w:t>I</w:t>
            </w:r>
          </w:p>
        </w:tc>
        <w:tc>
          <w:tcPr>
            <w:tcW w:w="1130" w:type="dxa"/>
            <w:vAlign w:val="center"/>
            <w:hideMark/>
          </w:tcPr>
          <w:p w14:paraId="03EE6C2D" w14:textId="77777777" w:rsidR="00602BCB" w:rsidRPr="00DA0139" w:rsidRDefault="00602BCB" w:rsidP="00E600DA">
            <w:pPr>
              <w:pStyle w:val="CS-IBMTableText"/>
              <w:jc w:val="center"/>
            </w:pPr>
            <w:r w:rsidRPr="00DA0139">
              <w:t>R</w:t>
            </w:r>
          </w:p>
        </w:tc>
        <w:tc>
          <w:tcPr>
            <w:tcW w:w="1060" w:type="dxa"/>
            <w:vAlign w:val="center"/>
            <w:hideMark/>
          </w:tcPr>
          <w:p w14:paraId="6CB8A19C" w14:textId="77777777" w:rsidR="00602BCB" w:rsidRPr="00DA0139" w:rsidRDefault="00602BCB" w:rsidP="00E600DA">
            <w:pPr>
              <w:pStyle w:val="CS-IBMTableText"/>
              <w:jc w:val="center"/>
            </w:pPr>
            <w:r w:rsidRPr="00DA0139">
              <w:t>I</w:t>
            </w:r>
          </w:p>
        </w:tc>
        <w:tc>
          <w:tcPr>
            <w:tcW w:w="1365" w:type="dxa"/>
            <w:vAlign w:val="center"/>
            <w:hideMark/>
          </w:tcPr>
          <w:p w14:paraId="021CBE69" w14:textId="77777777" w:rsidR="00602BCB" w:rsidRPr="00DA0139" w:rsidRDefault="00602BCB" w:rsidP="00E600DA">
            <w:pPr>
              <w:pStyle w:val="CS-IBMTableText"/>
              <w:jc w:val="center"/>
            </w:pPr>
            <w:r w:rsidRPr="00DA0139">
              <w:t>I</w:t>
            </w:r>
          </w:p>
        </w:tc>
        <w:tc>
          <w:tcPr>
            <w:tcW w:w="1264" w:type="dxa"/>
            <w:vAlign w:val="center"/>
            <w:hideMark/>
          </w:tcPr>
          <w:p w14:paraId="23C16271" w14:textId="77777777" w:rsidR="00602BCB" w:rsidRPr="00DA0139" w:rsidRDefault="00602BCB" w:rsidP="00E600DA">
            <w:pPr>
              <w:pStyle w:val="CS-IBMTableText"/>
              <w:jc w:val="center"/>
            </w:pPr>
            <w:r w:rsidRPr="00DA0139">
              <w:t>I</w:t>
            </w:r>
          </w:p>
        </w:tc>
        <w:tc>
          <w:tcPr>
            <w:tcW w:w="906" w:type="dxa"/>
            <w:vAlign w:val="center"/>
            <w:hideMark/>
          </w:tcPr>
          <w:p w14:paraId="4CEA478B" w14:textId="77777777" w:rsidR="00602BCB" w:rsidRPr="00DA0139" w:rsidRDefault="00602BCB" w:rsidP="00E600DA">
            <w:pPr>
              <w:pStyle w:val="CS-IBMTableText"/>
              <w:jc w:val="center"/>
            </w:pPr>
            <w:r w:rsidRPr="00DA0139">
              <w:t>A/R</w:t>
            </w:r>
          </w:p>
        </w:tc>
      </w:tr>
      <w:tr w:rsidR="00E600DA" w:rsidRPr="001446FC" w14:paraId="34649510" w14:textId="77777777" w:rsidTr="00E600DA">
        <w:trPr>
          <w:jc w:val="center"/>
        </w:trPr>
        <w:tc>
          <w:tcPr>
            <w:tcW w:w="1557" w:type="dxa"/>
            <w:vAlign w:val="center"/>
            <w:hideMark/>
          </w:tcPr>
          <w:p w14:paraId="4A080418" w14:textId="77777777" w:rsidR="00602BCB" w:rsidRPr="00A01F5C" w:rsidRDefault="00602BCB" w:rsidP="00E600DA">
            <w:pPr>
              <w:pStyle w:val="CS-IBMTableText"/>
              <w:rPr>
                <w:b/>
              </w:rPr>
            </w:pPr>
            <w:r w:rsidRPr="00A01F5C">
              <w:rPr>
                <w:b/>
              </w:rPr>
              <w:lastRenderedPageBreak/>
              <w:t>Architecture Mgmt (CAB)</w:t>
            </w:r>
          </w:p>
        </w:tc>
        <w:tc>
          <w:tcPr>
            <w:tcW w:w="1007" w:type="dxa"/>
            <w:vAlign w:val="center"/>
            <w:hideMark/>
          </w:tcPr>
          <w:p w14:paraId="3091EC7A" w14:textId="77777777" w:rsidR="00602BCB" w:rsidRPr="00DA0139" w:rsidRDefault="00602BCB" w:rsidP="00E600DA">
            <w:pPr>
              <w:pStyle w:val="CS-IBMTableText"/>
              <w:jc w:val="center"/>
            </w:pPr>
            <w:r w:rsidRPr="00DA0139">
              <w:t>C</w:t>
            </w:r>
          </w:p>
        </w:tc>
        <w:tc>
          <w:tcPr>
            <w:tcW w:w="1160" w:type="dxa"/>
            <w:vAlign w:val="center"/>
            <w:hideMark/>
          </w:tcPr>
          <w:p w14:paraId="6929E367" w14:textId="77777777" w:rsidR="00602BCB" w:rsidRPr="00DA0139" w:rsidRDefault="00602BCB" w:rsidP="00E600DA">
            <w:pPr>
              <w:pStyle w:val="CS-IBMTableText"/>
              <w:jc w:val="center"/>
            </w:pPr>
            <w:r w:rsidRPr="00DA0139">
              <w:t>I</w:t>
            </w:r>
          </w:p>
        </w:tc>
        <w:tc>
          <w:tcPr>
            <w:tcW w:w="1130" w:type="dxa"/>
            <w:vAlign w:val="center"/>
            <w:hideMark/>
          </w:tcPr>
          <w:p w14:paraId="0705D384" w14:textId="77777777" w:rsidR="00602BCB" w:rsidRPr="00DA0139" w:rsidRDefault="00602BCB" w:rsidP="00E600DA">
            <w:pPr>
              <w:pStyle w:val="CS-IBMTableText"/>
              <w:jc w:val="center"/>
            </w:pPr>
            <w:r w:rsidRPr="00DA0139">
              <w:t>I</w:t>
            </w:r>
          </w:p>
        </w:tc>
        <w:tc>
          <w:tcPr>
            <w:tcW w:w="1060" w:type="dxa"/>
            <w:vAlign w:val="center"/>
            <w:hideMark/>
          </w:tcPr>
          <w:p w14:paraId="0590346A" w14:textId="77777777" w:rsidR="00602BCB" w:rsidRPr="00DA0139" w:rsidRDefault="00602BCB" w:rsidP="00E600DA">
            <w:pPr>
              <w:pStyle w:val="CS-IBMTableText"/>
              <w:jc w:val="center"/>
            </w:pPr>
            <w:r w:rsidRPr="00DA0139">
              <w:t>R</w:t>
            </w:r>
          </w:p>
        </w:tc>
        <w:tc>
          <w:tcPr>
            <w:tcW w:w="1365" w:type="dxa"/>
            <w:vAlign w:val="center"/>
            <w:hideMark/>
          </w:tcPr>
          <w:p w14:paraId="08378899" w14:textId="77777777" w:rsidR="00602BCB" w:rsidRPr="00DA0139" w:rsidRDefault="00602BCB" w:rsidP="00E600DA">
            <w:pPr>
              <w:pStyle w:val="CS-IBMTableText"/>
              <w:jc w:val="center"/>
            </w:pPr>
            <w:r w:rsidRPr="00DA0139">
              <w:t>A/R</w:t>
            </w:r>
          </w:p>
        </w:tc>
        <w:tc>
          <w:tcPr>
            <w:tcW w:w="1264" w:type="dxa"/>
            <w:vAlign w:val="center"/>
            <w:hideMark/>
          </w:tcPr>
          <w:p w14:paraId="55801100" w14:textId="77777777" w:rsidR="00602BCB" w:rsidRPr="00DA0139" w:rsidRDefault="00602BCB" w:rsidP="00E600DA">
            <w:pPr>
              <w:pStyle w:val="CS-IBMTableText"/>
              <w:jc w:val="center"/>
            </w:pPr>
            <w:r w:rsidRPr="00DA0139">
              <w:t>I</w:t>
            </w:r>
          </w:p>
        </w:tc>
        <w:tc>
          <w:tcPr>
            <w:tcW w:w="906" w:type="dxa"/>
            <w:vAlign w:val="center"/>
            <w:hideMark/>
          </w:tcPr>
          <w:p w14:paraId="2D19086A" w14:textId="77777777" w:rsidR="00602BCB" w:rsidRPr="00DA0139" w:rsidRDefault="00602BCB" w:rsidP="00E600DA">
            <w:pPr>
              <w:pStyle w:val="CS-IBMTableText"/>
              <w:jc w:val="center"/>
            </w:pPr>
            <w:r w:rsidRPr="00DA0139">
              <w:t>I</w:t>
            </w:r>
          </w:p>
        </w:tc>
      </w:tr>
      <w:tr w:rsidR="00E600DA" w:rsidRPr="001446FC" w14:paraId="1BE45285" w14:textId="77777777" w:rsidTr="00E600DA">
        <w:trPr>
          <w:jc w:val="center"/>
        </w:trPr>
        <w:tc>
          <w:tcPr>
            <w:tcW w:w="1557" w:type="dxa"/>
            <w:vAlign w:val="center"/>
            <w:hideMark/>
          </w:tcPr>
          <w:p w14:paraId="11B75664" w14:textId="77777777" w:rsidR="00602BCB" w:rsidRPr="00A01F5C" w:rsidRDefault="00602BCB" w:rsidP="00E600DA">
            <w:pPr>
              <w:pStyle w:val="CS-IBMTableText"/>
              <w:rPr>
                <w:b/>
              </w:rPr>
            </w:pPr>
            <w:r w:rsidRPr="00A01F5C">
              <w:rPr>
                <w:b/>
              </w:rPr>
              <w:t>Network Mgmt</w:t>
            </w:r>
          </w:p>
        </w:tc>
        <w:tc>
          <w:tcPr>
            <w:tcW w:w="1007" w:type="dxa"/>
            <w:vAlign w:val="center"/>
            <w:hideMark/>
          </w:tcPr>
          <w:p w14:paraId="4179EA0F" w14:textId="77777777" w:rsidR="00602BCB" w:rsidRPr="00DA0139" w:rsidRDefault="00602BCB" w:rsidP="00E600DA">
            <w:pPr>
              <w:pStyle w:val="CS-IBMTableText"/>
              <w:jc w:val="center"/>
            </w:pPr>
            <w:r w:rsidRPr="00DA0139">
              <w:t>I</w:t>
            </w:r>
          </w:p>
        </w:tc>
        <w:tc>
          <w:tcPr>
            <w:tcW w:w="1160" w:type="dxa"/>
            <w:vAlign w:val="center"/>
            <w:hideMark/>
          </w:tcPr>
          <w:p w14:paraId="7D150FF8" w14:textId="77777777" w:rsidR="00602BCB" w:rsidRPr="00DA0139" w:rsidRDefault="00602BCB" w:rsidP="00E600DA">
            <w:pPr>
              <w:pStyle w:val="CS-IBMTableText"/>
              <w:jc w:val="center"/>
            </w:pPr>
            <w:r w:rsidRPr="00DA0139">
              <w:t>I</w:t>
            </w:r>
          </w:p>
        </w:tc>
        <w:tc>
          <w:tcPr>
            <w:tcW w:w="1130" w:type="dxa"/>
            <w:vAlign w:val="center"/>
            <w:hideMark/>
          </w:tcPr>
          <w:p w14:paraId="2C12AB16" w14:textId="77777777" w:rsidR="00602BCB" w:rsidRPr="00DA0139" w:rsidRDefault="00602BCB" w:rsidP="00E600DA">
            <w:pPr>
              <w:pStyle w:val="CS-IBMTableText"/>
              <w:jc w:val="center"/>
            </w:pPr>
            <w:r w:rsidRPr="00DA0139">
              <w:t>I</w:t>
            </w:r>
          </w:p>
        </w:tc>
        <w:tc>
          <w:tcPr>
            <w:tcW w:w="1060" w:type="dxa"/>
            <w:vAlign w:val="center"/>
            <w:hideMark/>
          </w:tcPr>
          <w:p w14:paraId="633A268F" w14:textId="77777777" w:rsidR="00602BCB" w:rsidRPr="00DA0139" w:rsidRDefault="00602BCB" w:rsidP="00E600DA">
            <w:pPr>
              <w:pStyle w:val="CS-IBMTableText"/>
              <w:jc w:val="center"/>
            </w:pPr>
            <w:r w:rsidRPr="00DA0139">
              <w:t>R</w:t>
            </w:r>
          </w:p>
        </w:tc>
        <w:tc>
          <w:tcPr>
            <w:tcW w:w="1365" w:type="dxa"/>
            <w:vAlign w:val="center"/>
            <w:hideMark/>
          </w:tcPr>
          <w:p w14:paraId="48E6254C" w14:textId="77777777" w:rsidR="00602BCB" w:rsidRPr="00DA0139" w:rsidRDefault="00602BCB" w:rsidP="00E600DA">
            <w:pPr>
              <w:pStyle w:val="CS-IBMTableText"/>
              <w:jc w:val="center"/>
            </w:pPr>
            <w:r w:rsidRPr="00DA0139">
              <w:t>A/R</w:t>
            </w:r>
          </w:p>
        </w:tc>
        <w:tc>
          <w:tcPr>
            <w:tcW w:w="1264" w:type="dxa"/>
            <w:vAlign w:val="center"/>
            <w:hideMark/>
          </w:tcPr>
          <w:p w14:paraId="4031BD49" w14:textId="77777777" w:rsidR="00602BCB" w:rsidRPr="00DA0139" w:rsidRDefault="00602BCB" w:rsidP="00E600DA">
            <w:pPr>
              <w:pStyle w:val="CS-IBMTableText"/>
              <w:jc w:val="center"/>
            </w:pPr>
            <w:r w:rsidRPr="00DA0139">
              <w:t>I</w:t>
            </w:r>
          </w:p>
        </w:tc>
        <w:tc>
          <w:tcPr>
            <w:tcW w:w="906" w:type="dxa"/>
            <w:vAlign w:val="center"/>
            <w:hideMark/>
          </w:tcPr>
          <w:p w14:paraId="4F3769D8" w14:textId="77777777" w:rsidR="00602BCB" w:rsidRPr="00DA0139" w:rsidRDefault="00602BCB" w:rsidP="00E600DA">
            <w:pPr>
              <w:pStyle w:val="CS-IBMTableText"/>
              <w:jc w:val="center"/>
            </w:pPr>
            <w:r w:rsidRPr="00DA0139">
              <w:t>I</w:t>
            </w:r>
          </w:p>
        </w:tc>
      </w:tr>
      <w:tr w:rsidR="00E600DA" w:rsidRPr="001446FC" w14:paraId="4D08C7CA" w14:textId="77777777" w:rsidTr="00E600DA">
        <w:trPr>
          <w:jc w:val="center"/>
        </w:trPr>
        <w:tc>
          <w:tcPr>
            <w:tcW w:w="1557" w:type="dxa"/>
            <w:vAlign w:val="center"/>
            <w:hideMark/>
          </w:tcPr>
          <w:p w14:paraId="213E83FF" w14:textId="77777777" w:rsidR="00602BCB" w:rsidRPr="00A01F5C" w:rsidRDefault="00602BCB" w:rsidP="00E600DA">
            <w:pPr>
              <w:pStyle w:val="CS-IBMTableText"/>
              <w:rPr>
                <w:b/>
              </w:rPr>
            </w:pPr>
            <w:r w:rsidRPr="00A01F5C">
              <w:rPr>
                <w:b/>
              </w:rPr>
              <w:t>Security Mgmt</w:t>
            </w:r>
          </w:p>
        </w:tc>
        <w:tc>
          <w:tcPr>
            <w:tcW w:w="1007" w:type="dxa"/>
            <w:vAlign w:val="center"/>
            <w:hideMark/>
          </w:tcPr>
          <w:p w14:paraId="765A92A5" w14:textId="77777777" w:rsidR="00602BCB" w:rsidRPr="00DA0139" w:rsidRDefault="00602BCB" w:rsidP="00E600DA">
            <w:pPr>
              <w:pStyle w:val="CS-IBMTableText"/>
              <w:jc w:val="center"/>
            </w:pPr>
            <w:r w:rsidRPr="00DA0139">
              <w:t>C</w:t>
            </w:r>
          </w:p>
        </w:tc>
        <w:tc>
          <w:tcPr>
            <w:tcW w:w="1160" w:type="dxa"/>
            <w:vAlign w:val="center"/>
            <w:hideMark/>
          </w:tcPr>
          <w:p w14:paraId="0BB8A8F3" w14:textId="77777777" w:rsidR="00602BCB" w:rsidRPr="00DA0139" w:rsidRDefault="00602BCB" w:rsidP="00E600DA">
            <w:pPr>
              <w:pStyle w:val="CS-IBMTableText"/>
              <w:jc w:val="center"/>
            </w:pPr>
            <w:r w:rsidRPr="00DA0139">
              <w:t>I</w:t>
            </w:r>
          </w:p>
        </w:tc>
        <w:tc>
          <w:tcPr>
            <w:tcW w:w="1130" w:type="dxa"/>
            <w:vAlign w:val="center"/>
            <w:hideMark/>
          </w:tcPr>
          <w:p w14:paraId="4636200F" w14:textId="77777777" w:rsidR="00602BCB" w:rsidRPr="00DA0139" w:rsidRDefault="00602BCB" w:rsidP="00E600DA">
            <w:pPr>
              <w:pStyle w:val="CS-IBMTableText"/>
              <w:jc w:val="center"/>
            </w:pPr>
            <w:r w:rsidRPr="00DA0139">
              <w:t>I</w:t>
            </w:r>
          </w:p>
        </w:tc>
        <w:tc>
          <w:tcPr>
            <w:tcW w:w="1060" w:type="dxa"/>
            <w:vAlign w:val="center"/>
            <w:hideMark/>
          </w:tcPr>
          <w:p w14:paraId="2578B89E" w14:textId="77777777" w:rsidR="00602BCB" w:rsidRPr="00DA0139" w:rsidRDefault="00602BCB" w:rsidP="00E600DA">
            <w:pPr>
              <w:pStyle w:val="CS-IBMTableText"/>
              <w:jc w:val="center"/>
            </w:pPr>
            <w:r w:rsidRPr="00DA0139">
              <w:t>C</w:t>
            </w:r>
          </w:p>
        </w:tc>
        <w:tc>
          <w:tcPr>
            <w:tcW w:w="1365" w:type="dxa"/>
            <w:vAlign w:val="center"/>
            <w:hideMark/>
          </w:tcPr>
          <w:p w14:paraId="234F3EB8" w14:textId="77777777" w:rsidR="00602BCB" w:rsidRPr="00DA0139" w:rsidRDefault="00602BCB" w:rsidP="00E600DA">
            <w:pPr>
              <w:pStyle w:val="CS-IBMTableText"/>
              <w:jc w:val="center"/>
            </w:pPr>
            <w:r w:rsidRPr="00DA0139">
              <w:t>A/R</w:t>
            </w:r>
          </w:p>
        </w:tc>
        <w:tc>
          <w:tcPr>
            <w:tcW w:w="1264" w:type="dxa"/>
            <w:vAlign w:val="center"/>
            <w:hideMark/>
          </w:tcPr>
          <w:p w14:paraId="3225F0F6" w14:textId="77777777" w:rsidR="00602BCB" w:rsidRPr="00DA0139" w:rsidRDefault="00602BCB" w:rsidP="00E600DA">
            <w:pPr>
              <w:pStyle w:val="CS-IBMTableText"/>
              <w:jc w:val="center"/>
            </w:pPr>
            <w:r w:rsidRPr="00DA0139">
              <w:t>I</w:t>
            </w:r>
          </w:p>
        </w:tc>
        <w:tc>
          <w:tcPr>
            <w:tcW w:w="906" w:type="dxa"/>
            <w:vAlign w:val="center"/>
            <w:hideMark/>
          </w:tcPr>
          <w:p w14:paraId="7499D838" w14:textId="77777777" w:rsidR="00602BCB" w:rsidRPr="00DA0139" w:rsidRDefault="00602BCB" w:rsidP="00E600DA">
            <w:pPr>
              <w:pStyle w:val="CS-IBMTableText"/>
              <w:jc w:val="center"/>
            </w:pPr>
            <w:r w:rsidRPr="00DA0139">
              <w:t>I</w:t>
            </w:r>
          </w:p>
        </w:tc>
      </w:tr>
    </w:tbl>
    <w:p w14:paraId="3C2A61E1" w14:textId="67E661BB" w:rsidR="007923E3" w:rsidRPr="00A01F5C" w:rsidRDefault="00602BCB" w:rsidP="00D526CA">
      <w:pPr>
        <w:pStyle w:val="CS-IBMResponseText"/>
        <w:rPr>
          <w:i/>
          <w:iCs/>
        </w:rPr>
      </w:pPr>
      <w:r w:rsidRPr="00A01F5C">
        <w:rPr>
          <w:i/>
          <w:iCs/>
        </w:rPr>
        <w:t>A = Accountable, R = Responsible, C = Consulted, I = Informed</w:t>
      </w:r>
    </w:p>
    <w:p w14:paraId="675C4830" w14:textId="77777777" w:rsidR="00602BCB" w:rsidRPr="00DA0139" w:rsidRDefault="00602BCB" w:rsidP="00D526CA">
      <w:pPr>
        <w:pStyle w:val="CS-IBMResponseText"/>
        <w:rPr>
          <w:rFonts w:eastAsia="IBM Plex Sans"/>
        </w:rPr>
      </w:pPr>
      <w:r w:rsidRPr="00DA0139">
        <w:rPr>
          <w:rFonts w:eastAsia="IBM Plex Sans"/>
        </w:rPr>
        <w:t xml:space="preserve">The table below maps each Key Staff member to the specific Subtasks outlined in </w:t>
      </w:r>
      <w:r w:rsidRPr="003B7BEB">
        <w:rPr>
          <w:rFonts w:eastAsia="IBM Plex Sans"/>
          <w:b/>
          <w:bCs/>
        </w:rPr>
        <w:t>Attachment 2 – QA Requirements Matrix.</w:t>
      </w:r>
      <w:r w:rsidRPr="00DA0139">
        <w:rPr>
          <w:rFonts w:eastAsia="IBM Plex Sans"/>
        </w:rPr>
        <w:t xml:space="preserve"> This table provides a clear mapping of which individual role is responsible for each subtask, demonstrating our commitment to transparency, role alignment, and effective execution of QA services in accordance with CalSAWS expectations.</w:t>
      </w:r>
    </w:p>
    <w:p w14:paraId="3D295630" w14:textId="429D2E4A" w:rsidR="00570880" w:rsidRDefault="00570880" w:rsidP="00570880">
      <w:pPr>
        <w:pStyle w:val="Caption"/>
        <w:keepNext/>
        <w:jc w:val="center"/>
      </w:pPr>
      <w:bookmarkStart w:id="33" w:name="_Toc213064572"/>
      <w:r>
        <w:t xml:space="preserve">Table 3.1.1. </w:t>
      </w:r>
      <w:r>
        <w:fldChar w:fldCharType="begin"/>
      </w:r>
      <w:r>
        <w:instrText xml:space="preserve"> SEQ Table_3.1.1. \* ARABIC </w:instrText>
      </w:r>
      <w:r>
        <w:fldChar w:fldCharType="separate"/>
      </w:r>
      <w:r>
        <w:rPr>
          <w:noProof/>
        </w:rPr>
        <w:t>5</w:t>
      </w:r>
      <w:r>
        <w:fldChar w:fldCharType="end"/>
      </w:r>
      <w:r>
        <w:t xml:space="preserve"> QA Requirement Matrix (Att 2)</w:t>
      </w:r>
      <w:bookmarkEnd w:id="33"/>
    </w:p>
    <w:tbl>
      <w:tblPr>
        <w:tblW w:w="9360" w:type="dxa"/>
        <w:tblLayout w:type="fixed"/>
        <w:tblLook w:val="06A0" w:firstRow="1" w:lastRow="0" w:firstColumn="1" w:lastColumn="0" w:noHBand="1" w:noVBand="1"/>
      </w:tblPr>
      <w:tblGrid>
        <w:gridCol w:w="5508"/>
        <w:gridCol w:w="3852"/>
      </w:tblGrid>
      <w:tr w:rsidR="00602BCB" w:rsidRPr="001446FC" w14:paraId="34FA4C65" w14:textId="77777777" w:rsidTr="00120AD1">
        <w:trPr>
          <w:trHeight w:val="360"/>
          <w:tblHeader/>
        </w:trPr>
        <w:tc>
          <w:tcPr>
            <w:tcW w:w="5508" w:type="dxa"/>
            <w:tcBorders>
              <w:top w:val="single" w:sz="4" w:space="0" w:color="auto"/>
              <w:left w:val="single" w:sz="4" w:space="0" w:color="auto"/>
              <w:bottom w:val="single" w:sz="4" w:space="0" w:color="auto"/>
              <w:right w:val="single" w:sz="4" w:space="0" w:color="auto"/>
            </w:tcBorders>
            <w:shd w:val="clear" w:color="auto" w:fill="0070C0"/>
            <w:tcMar>
              <w:top w:w="15" w:type="dxa"/>
              <w:left w:w="15" w:type="dxa"/>
              <w:right w:w="15" w:type="dxa"/>
            </w:tcMar>
            <w:vAlign w:val="center"/>
          </w:tcPr>
          <w:p w14:paraId="6CF6ECF1" w14:textId="77777777" w:rsidR="00602BCB" w:rsidRPr="00DA0139" w:rsidRDefault="00602BCB" w:rsidP="00120AD1">
            <w:pPr>
              <w:pStyle w:val="CS-IBMTableColumnHeader"/>
              <w:jc w:val="left"/>
              <w:rPr>
                <w:rFonts w:eastAsia="IBM Plex Sans"/>
              </w:rPr>
            </w:pPr>
            <w:r w:rsidRPr="00DA0139">
              <w:rPr>
                <w:rFonts w:eastAsia="IBM Plex Sans"/>
              </w:rPr>
              <w:t>Attachment 2</w:t>
            </w:r>
          </w:p>
        </w:tc>
        <w:tc>
          <w:tcPr>
            <w:tcW w:w="3852" w:type="dxa"/>
            <w:tcBorders>
              <w:top w:val="single" w:sz="4" w:space="0" w:color="auto"/>
              <w:left w:val="single" w:sz="4" w:space="0" w:color="auto"/>
              <w:bottom w:val="single" w:sz="4" w:space="0" w:color="auto"/>
              <w:right w:val="single" w:sz="4" w:space="0" w:color="auto"/>
            </w:tcBorders>
            <w:shd w:val="clear" w:color="auto" w:fill="0070C0"/>
            <w:tcMar>
              <w:top w:w="15" w:type="dxa"/>
              <w:left w:w="15" w:type="dxa"/>
              <w:right w:w="15" w:type="dxa"/>
            </w:tcMar>
            <w:vAlign w:val="center"/>
          </w:tcPr>
          <w:p w14:paraId="57ECDD80" w14:textId="77777777" w:rsidR="00602BCB" w:rsidRPr="00DA0139" w:rsidRDefault="00602BCB" w:rsidP="00120AD1">
            <w:pPr>
              <w:pStyle w:val="CS-IBMTableColumnHeader"/>
              <w:jc w:val="left"/>
              <w:rPr>
                <w:rFonts w:eastAsia="IBM Plex Sans"/>
              </w:rPr>
            </w:pPr>
            <w:r w:rsidRPr="00DA0139">
              <w:rPr>
                <w:rFonts w:eastAsia="IBM Plex Sans"/>
              </w:rPr>
              <w:t>Responsible Role</w:t>
            </w:r>
          </w:p>
        </w:tc>
      </w:tr>
      <w:tr w:rsidR="00602BCB" w:rsidRPr="001446FC" w14:paraId="33A51CEB"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015190D1" w14:textId="77777777" w:rsidR="00602BCB" w:rsidRPr="00D90361" w:rsidRDefault="00602BCB" w:rsidP="003B7BEB">
            <w:pPr>
              <w:pStyle w:val="CS-IBMTableText"/>
              <w:rPr>
                <w:rFonts w:eastAsia="IBM Plex Sans"/>
                <w:b/>
                <w:bCs/>
              </w:rPr>
            </w:pPr>
            <w:r w:rsidRPr="00D90361">
              <w:rPr>
                <w:rFonts w:eastAsia="IBM Plex Sans"/>
                <w:b/>
                <w:bCs/>
              </w:rPr>
              <w:t>SOW Task Area: 1. Transition-In Requirements (6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bottom"/>
          </w:tcPr>
          <w:p w14:paraId="312D5866"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346D9DBA"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60533CDF" w14:textId="77777777" w:rsidR="00602BCB" w:rsidRPr="00DA0139" w:rsidRDefault="00602BCB" w:rsidP="003B7BEB">
            <w:pPr>
              <w:pStyle w:val="CS-IBMTableText"/>
              <w:rPr>
                <w:rFonts w:eastAsia="IBM Plex Sans"/>
              </w:rPr>
            </w:pPr>
            <w:r w:rsidRPr="00DA0139">
              <w:rPr>
                <w:rFonts w:eastAsia="IBM Plex Sans"/>
              </w:rPr>
              <w:t>Subtask: 1.1 Transition-In Planning and Execution (6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45322DE" w14:textId="77777777" w:rsidR="00602BCB" w:rsidRPr="00DA0139" w:rsidRDefault="00602BCB" w:rsidP="003B7BEB">
            <w:pPr>
              <w:pStyle w:val="CS-IBMTableText"/>
              <w:rPr>
                <w:rFonts w:eastAsia="IBM Plex Sans"/>
              </w:rPr>
            </w:pPr>
            <w:r w:rsidRPr="00DA0139">
              <w:rPr>
                <w:rFonts w:eastAsia="IBM Plex Sans"/>
              </w:rPr>
              <w:t>Transition Manager (will become QA Project Manager)</w:t>
            </w:r>
          </w:p>
        </w:tc>
      </w:tr>
      <w:tr w:rsidR="00602BCB" w:rsidRPr="001446FC" w14:paraId="74A0F2F7"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6C48C4CE" w14:textId="77777777" w:rsidR="00602BCB" w:rsidRPr="00D90361" w:rsidRDefault="00602BCB" w:rsidP="003B7BEB">
            <w:pPr>
              <w:pStyle w:val="CS-IBMTableText"/>
              <w:rPr>
                <w:rFonts w:eastAsia="IBM Plex Sans"/>
                <w:b/>
                <w:bCs/>
              </w:rPr>
            </w:pPr>
            <w:r w:rsidRPr="00D90361">
              <w:rPr>
                <w:rFonts w:eastAsia="IBM Plex Sans"/>
                <w:b/>
                <w:bCs/>
              </w:rPr>
              <w:t>SOW Task Area: 2. Management Requirements (21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bottom"/>
          </w:tcPr>
          <w:p w14:paraId="3EB303AE"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6B41C95D"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5D95D5E1" w14:textId="77777777" w:rsidR="00602BCB" w:rsidRPr="00DA0139" w:rsidRDefault="00602BCB" w:rsidP="003B7BEB">
            <w:pPr>
              <w:pStyle w:val="CS-IBMTableText"/>
              <w:rPr>
                <w:rFonts w:eastAsia="IBM Plex Sans"/>
              </w:rPr>
            </w:pPr>
            <w:r w:rsidRPr="00DA0139">
              <w:rPr>
                <w:rFonts w:eastAsia="IBM Plex Sans"/>
              </w:rPr>
              <w:t>Sub Task: 2.1 Quality Assurance management (14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83B0529" w14:textId="77777777" w:rsidR="00602BCB" w:rsidRPr="00DA0139" w:rsidRDefault="00602BCB" w:rsidP="003B7BEB">
            <w:pPr>
              <w:pStyle w:val="CS-IBMTableText"/>
              <w:rPr>
                <w:rFonts w:eastAsia="IBM Plex Sans"/>
              </w:rPr>
            </w:pPr>
            <w:r w:rsidRPr="00DA0139">
              <w:rPr>
                <w:rFonts w:eastAsia="IBM Plex Sans"/>
              </w:rPr>
              <w:t xml:space="preserve">QA Functional, QA Test Manager </w:t>
            </w:r>
          </w:p>
        </w:tc>
      </w:tr>
      <w:tr w:rsidR="00602BCB" w:rsidRPr="001446FC" w14:paraId="486168E8"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55D6DBF6" w14:textId="77777777" w:rsidR="00602BCB" w:rsidRPr="00DA0139" w:rsidRDefault="00602BCB" w:rsidP="003B7BEB">
            <w:pPr>
              <w:pStyle w:val="CS-IBMTableText"/>
              <w:rPr>
                <w:rFonts w:eastAsia="IBM Plex Sans"/>
              </w:rPr>
            </w:pPr>
            <w:r w:rsidRPr="00DA0139">
              <w:rPr>
                <w:rFonts w:eastAsia="IBM Plex Sans"/>
              </w:rPr>
              <w:t>Sub Task: 2.2 Project Management Support (7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EC14ADA" w14:textId="77777777" w:rsidR="00602BCB" w:rsidRPr="00DA0139" w:rsidRDefault="00602BCB" w:rsidP="003B7BEB">
            <w:pPr>
              <w:pStyle w:val="CS-IBMTableText"/>
              <w:rPr>
                <w:rFonts w:eastAsia="IBM Plex Sans"/>
              </w:rPr>
            </w:pPr>
            <w:r w:rsidRPr="00DA0139">
              <w:rPr>
                <w:rFonts w:eastAsia="IBM Plex Sans"/>
              </w:rPr>
              <w:t>QA Project Manager</w:t>
            </w:r>
          </w:p>
        </w:tc>
      </w:tr>
      <w:tr w:rsidR="00602BCB" w:rsidRPr="001446FC" w14:paraId="03721BD9"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5C0272B5" w14:textId="77777777" w:rsidR="00602BCB" w:rsidRPr="00D90361" w:rsidRDefault="00602BCB" w:rsidP="003B7BEB">
            <w:pPr>
              <w:pStyle w:val="CS-IBMTableText"/>
              <w:rPr>
                <w:rFonts w:eastAsia="IBM Plex Sans"/>
                <w:b/>
                <w:bCs/>
              </w:rPr>
            </w:pPr>
            <w:r w:rsidRPr="00D90361">
              <w:rPr>
                <w:rFonts w:eastAsia="IBM Plex Sans"/>
                <w:b/>
                <w:bCs/>
              </w:rPr>
              <w:t>SOW Task Area: 3. Quality Assurance Requirements (88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bottom"/>
          </w:tcPr>
          <w:p w14:paraId="64F76F34"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19C12BFD"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4BA31445" w14:textId="77777777" w:rsidR="00602BCB" w:rsidRPr="00DA0139" w:rsidRDefault="00602BCB" w:rsidP="003B7BEB">
            <w:pPr>
              <w:pStyle w:val="CS-IBMTableText"/>
              <w:rPr>
                <w:rFonts w:eastAsia="IBM Plex Sans"/>
              </w:rPr>
            </w:pPr>
            <w:r w:rsidRPr="00DA0139">
              <w:rPr>
                <w:rFonts w:eastAsia="IBM Plex Sans"/>
              </w:rPr>
              <w:t>Subtask: 3.1 Project management (11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A4D7CFF" w14:textId="77777777" w:rsidR="00602BCB" w:rsidRPr="00DA0139" w:rsidRDefault="00602BCB" w:rsidP="003B7BEB">
            <w:pPr>
              <w:pStyle w:val="CS-IBMTableText"/>
              <w:rPr>
                <w:rFonts w:eastAsia="IBM Plex Sans"/>
              </w:rPr>
            </w:pPr>
            <w:r w:rsidRPr="00DA0139">
              <w:rPr>
                <w:rFonts w:eastAsia="IBM Plex Sans"/>
              </w:rPr>
              <w:t>QA Project Manager</w:t>
            </w:r>
          </w:p>
        </w:tc>
      </w:tr>
      <w:tr w:rsidR="00602BCB" w:rsidRPr="001446FC" w14:paraId="1074F3F5"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22C14B39" w14:textId="77777777" w:rsidR="00602BCB" w:rsidRPr="00DA0139" w:rsidRDefault="00602BCB" w:rsidP="003B7BEB">
            <w:pPr>
              <w:pStyle w:val="CS-IBMTableText"/>
              <w:rPr>
                <w:rFonts w:eastAsia="IBM Plex Sans"/>
              </w:rPr>
            </w:pPr>
            <w:r w:rsidRPr="00DA0139">
              <w:rPr>
                <w:rFonts w:eastAsia="IBM Plex Sans"/>
              </w:rPr>
              <w:t>Subtask: 3.2 SCR Process (9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C6F9A07" w14:textId="77777777" w:rsidR="00602BCB" w:rsidRPr="00DA0139" w:rsidRDefault="00602BCB" w:rsidP="003B7BEB">
            <w:pPr>
              <w:pStyle w:val="CS-IBMTableText"/>
              <w:rPr>
                <w:rFonts w:eastAsia="IBM Plex Sans"/>
              </w:rPr>
            </w:pPr>
            <w:r w:rsidRPr="00DA0139">
              <w:rPr>
                <w:rFonts w:eastAsia="IBM Plex Sans"/>
              </w:rPr>
              <w:t>QA Functional Manager</w:t>
            </w:r>
          </w:p>
        </w:tc>
      </w:tr>
      <w:tr w:rsidR="00602BCB" w:rsidRPr="001446FC" w14:paraId="0E41BA2D"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71BFC9C1" w14:textId="77777777" w:rsidR="00602BCB" w:rsidRPr="00DA0139" w:rsidRDefault="00602BCB" w:rsidP="003B7BEB">
            <w:pPr>
              <w:pStyle w:val="CS-IBMTableText"/>
              <w:rPr>
                <w:rFonts w:eastAsia="IBM Plex Sans"/>
              </w:rPr>
            </w:pPr>
            <w:r w:rsidRPr="00DA0139">
              <w:rPr>
                <w:rFonts w:eastAsia="IBM Plex Sans"/>
              </w:rPr>
              <w:t>Subtask: 3.3 System Requirements Capture and Validation (5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5ABE374" w14:textId="77777777" w:rsidR="00602BCB" w:rsidRPr="00DA0139" w:rsidRDefault="00602BCB" w:rsidP="003B7BEB">
            <w:pPr>
              <w:pStyle w:val="CS-IBMTableText"/>
              <w:rPr>
                <w:rFonts w:eastAsia="IBM Plex Sans"/>
              </w:rPr>
            </w:pPr>
            <w:r w:rsidRPr="00DA0139">
              <w:rPr>
                <w:rFonts w:eastAsia="IBM Plex Sans"/>
              </w:rPr>
              <w:t>QA Functional Manager</w:t>
            </w:r>
          </w:p>
        </w:tc>
      </w:tr>
      <w:tr w:rsidR="00602BCB" w:rsidRPr="001446FC" w14:paraId="76C8E5F7"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0A900C72" w14:textId="77777777" w:rsidR="00602BCB" w:rsidRPr="00DA0139" w:rsidRDefault="00602BCB" w:rsidP="003B7BEB">
            <w:pPr>
              <w:pStyle w:val="CS-IBMTableText"/>
              <w:rPr>
                <w:rFonts w:eastAsia="IBM Plex Sans"/>
              </w:rPr>
            </w:pPr>
            <w:r w:rsidRPr="00DA0139">
              <w:rPr>
                <w:rFonts w:eastAsia="IBM Plex Sans"/>
              </w:rPr>
              <w:t>Subtask: 3.4 System Design and Validation (4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3A1873" w14:textId="77777777" w:rsidR="00602BCB" w:rsidRPr="00DA0139" w:rsidRDefault="00602BCB" w:rsidP="003B7BEB">
            <w:pPr>
              <w:pStyle w:val="CS-IBMTableText"/>
              <w:rPr>
                <w:rFonts w:eastAsia="IBM Plex Sans"/>
              </w:rPr>
            </w:pPr>
            <w:r w:rsidRPr="00DA0139">
              <w:rPr>
                <w:rFonts w:eastAsia="IBM Plex Sans"/>
              </w:rPr>
              <w:t>QA Functional Manager, QA Technical Manager</w:t>
            </w:r>
          </w:p>
        </w:tc>
      </w:tr>
      <w:tr w:rsidR="00602BCB" w:rsidRPr="001446FC" w14:paraId="19DB6175"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142B2E0B" w14:textId="77777777" w:rsidR="00602BCB" w:rsidRPr="00DA0139" w:rsidRDefault="00602BCB" w:rsidP="003B7BEB">
            <w:pPr>
              <w:pStyle w:val="CS-IBMTableText"/>
              <w:rPr>
                <w:rFonts w:eastAsia="IBM Plex Sans"/>
              </w:rPr>
            </w:pPr>
            <w:r w:rsidRPr="00DA0139">
              <w:rPr>
                <w:rFonts w:eastAsia="IBM Plex Sans"/>
              </w:rPr>
              <w:lastRenderedPageBreak/>
              <w:t>Subtask: 3.5 Other CalSAWS Contractor Testing (6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7921278" w14:textId="77777777" w:rsidR="00602BCB" w:rsidRPr="00DA0139" w:rsidRDefault="00602BCB" w:rsidP="003B7BEB">
            <w:pPr>
              <w:pStyle w:val="CS-IBMTableText"/>
              <w:rPr>
                <w:rFonts w:eastAsia="IBM Plex Sans"/>
              </w:rPr>
            </w:pPr>
            <w:r w:rsidRPr="00DA0139">
              <w:rPr>
                <w:rFonts w:eastAsia="IBM Plex Sans"/>
              </w:rPr>
              <w:t>QA Functional Manager</w:t>
            </w:r>
          </w:p>
        </w:tc>
      </w:tr>
      <w:tr w:rsidR="00602BCB" w:rsidRPr="001446FC" w14:paraId="6F8E463D"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10369382" w14:textId="77777777" w:rsidR="00602BCB" w:rsidRPr="00DA0139" w:rsidRDefault="00602BCB" w:rsidP="003B7BEB">
            <w:pPr>
              <w:pStyle w:val="CS-IBMTableText"/>
              <w:rPr>
                <w:rFonts w:eastAsia="IBM Plex Sans"/>
              </w:rPr>
            </w:pPr>
            <w:r w:rsidRPr="00DA0139">
              <w:rPr>
                <w:rFonts w:eastAsia="IBM Plex Sans"/>
              </w:rPr>
              <w:t>Subtask: 3.6 Consortium and County Validation Test Support (4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8C59914" w14:textId="3CC18941" w:rsidR="00602BCB" w:rsidRPr="00DA0139" w:rsidRDefault="00602BCB" w:rsidP="003B7BEB">
            <w:pPr>
              <w:pStyle w:val="CS-IBMTableText"/>
              <w:rPr>
                <w:rFonts w:eastAsia="IBM Plex Sans"/>
              </w:rPr>
            </w:pPr>
            <w:r w:rsidRPr="00DA0139">
              <w:rPr>
                <w:rFonts w:eastAsia="IBM Plex Sans"/>
              </w:rPr>
              <w:t xml:space="preserve">QA Test </w:t>
            </w:r>
            <w:r w:rsidR="00775B0B" w:rsidRPr="00DA0139">
              <w:rPr>
                <w:rFonts w:eastAsia="IBM Plex Sans"/>
              </w:rPr>
              <w:t>Manager</w:t>
            </w:r>
            <w:r w:rsidRPr="00DA0139">
              <w:rPr>
                <w:rFonts w:eastAsia="IBM Plex Sans"/>
              </w:rPr>
              <w:t>, QA Functional Manager</w:t>
            </w:r>
          </w:p>
        </w:tc>
      </w:tr>
      <w:tr w:rsidR="00602BCB" w:rsidRPr="001446FC" w14:paraId="73AA8DFF"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40299848" w14:textId="77777777" w:rsidR="00602BCB" w:rsidRPr="00DA0139" w:rsidRDefault="00602BCB" w:rsidP="003B7BEB">
            <w:pPr>
              <w:pStyle w:val="CS-IBMTableText"/>
              <w:rPr>
                <w:rFonts w:eastAsia="IBM Plex Sans"/>
              </w:rPr>
            </w:pPr>
            <w:r w:rsidRPr="00DA0139">
              <w:rPr>
                <w:rFonts w:eastAsia="IBM Plex Sans"/>
              </w:rPr>
              <w:t>Subtask: 3.7 Change Management and Training Support (9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6C3E165" w14:textId="77777777" w:rsidR="00602BCB" w:rsidRPr="00DA0139" w:rsidRDefault="00602BCB" w:rsidP="003B7BEB">
            <w:pPr>
              <w:pStyle w:val="CS-IBMTableText"/>
              <w:rPr>
                <w:rFonts w:eastAsia="IBM Plex Sans"/>
              </w:rPr>
            </w:pPr>
            <w:r w:rsidRPr="00DA0139">
              <w:rPr>
                <w:rFonts w:eastAsia="IBM Plex Sans"/>
              </w:rPr>
              <w:t>QA Project Manager, PMO Lead</w:t>
            </w:r>
          </w:p>
        </w:tc>
      </w:tr>
      <w:tr w:rsidR="00602BCB" w:rsidRPr="001446FC" w14:paraId="485DF565"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71165337" w14:textId="77777777" w:rsidR="00602BCB" w:rsidRPr="00DA0139" w:rsidRDefault="00602BCB" w:rsidP="003B7BEB">
            <w:pPr>
              <w:pStyle w:val="CS-IBMTableText"/>
              <w:rPr>
                <w:rFonts w:eastAsia="IBM Plex Sans"/>
              </w:rPr>
            </w:pPr>
            <w:r w:rsidRPr="00DA0139">
              <w:rPr>
                <w:rFonts w:eastAsia="IBM Plex Sans"/>
              </w:rPr>
              <w:t>Subtask: 3.8 Production Readiness, Green Light and Deployment (8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0834E42" w14:textId="1B690DB6" w:rsidR="00602BCB" w:rsidRPr="00DA0139" w:rsidRDefault="00602BCB" w:rsidP="003B7BEB">
            <w:pPr>
              <w:pStyle w:val="CS-IBMTableText"/>
              <w:rPr>
                <w:rFonts w:eastAsia="IBM Plex Sans"/>
              </w:rPr>
            </w:pPr>
            <w:r w:rsidRPr="00DA0139">
              <w:rPr>
                <w:rFonts w:eastAsia="IBM Plex Sans"/>
              </w:rPr>
              <w:t xml:space="preserve">QA Test </w:t>
            </w:r>
            <w:r w:rsidR="00775B0B" w:rsidRPr="00DA0139">
              <w:rPr>
                <w:rFonts w:eastAsia="IBM Plex Sans"/>
              </w:rPr>
              <w:t>Manager</w:t>
            </w:r>
            <w:r w:rsidRPr="00DA0139">
              <w:rPr>
                <w:rFonts w:eastAsia="IBM Plex Sans"/>
              </w:rPr>
              <w:t>, QA Functional Manager</w:t>
            </w:r>
          </w:p>
        </w:tc>
      </w:tr>
      <w:tr w:rsidR="00602BCB" w:rsidRPr="001446FC" w14:paraId="27728093"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579BFF1B" w14:textId="77777777" w:rsidR="00602BCB" w:rsidRPr="00DA0139" w:rsidRDefault="00602BCB" w:rsidP="003B7BEB">
            <w:pPr>
              <w:pStyle w:val="CS-IBMTableText"/>
              <w:rPr>
                <w:rFonts w:eastAsia="IBM Plex Sans"/>
              </w:rPr>
            </w:pPr>
            <w:r w:rsidRPr="00DA0139">
              <w:rPr>
                <w:rFonts w:eastAsia="IBM Plex Sans"/>
              </w:rPr>
              <w:t>Subtask: 3.9 Marketing and Public Communications Support (6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69684D4" w14:textId="77777777" w:rsidR="00602BCB" w:rsidRPr="00DA0139" w:rsidRDefault="00602BCB" w:rsidP="003B7BEB">
            <w:pPr>
              <w:pStyle w:val="CS-IBMTableText"/>
              <w:rPr>
                <w:rFonts w:eastAsia="IBM Plex Sans"/>
              </w:rPr>
            </w:pPr>
            <w:r w:rsidRPr="00DA0139">
              <w:rPr>
                <w:rFonts w:eastAsia="IBM Plex Sans"/>
              </w:rPr>
              <w:t>QA Project Manager</w:t>
            </w:r>
          </w:p>
        </w:tc>
      </w:tr>
      <w:tr w:rsidR="00602BCB" w:rsidRPr="001446FC" w14:paraId="47E9C07A"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6EBB4CC9" w14:textId="77777777" w:rsidR="00602BCB" w:rsidRPr="00DA0139" w:rsidRDefault="00602BCB" w:rsidP="003B7BEB">
            <w:pPr>
              <w:pStyle w:val="CS-IBMTableText"/>
              <w:rPr>
                <w:rFonts w:eastAsia="IBM Plex Sans"/>
              </w:rPr>
            </w:pPr>
            <w:r w:rsidRPr="00DA0139">
              <w:rPr>
                <w:rFonts w:eastAsia="IBM Plex Sans"/>
              </w:rPr>
              <w:t>Subtask: 3.10 Enhancement and innovation (5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27D9C81"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20A17A3A"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6D89EA53" w14:textId="77777777" w:rsidR="00602BCB" w:rsidRPr="00DA0139" w:rsidRDefault="00602BCB" w:rsidP="003B7BEB">
            <w:pPr>
              <w:pStyle w:val="CS-IBMTableText"/>
              <w:rPr>
                <w:rFonts w:eastAsia="IBM Plex Sans"/>
              </w:rPr>
            </w:pPr>
            <w:r w:rsidRPr="00DA0139">
              <w:rPr>
                <w:rFonts w:eastAsia="IBM Plex Sans"/>
              </w:rPr>
              <w:t>Subtask: 3.11 Operations (15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EEF6278" w14:textId="607A534C" w:rsidR="00602BCB" w:rsidRPr="00DA0139" w:rsidRDefault="00602BCB" w:rsidP="003B7BEB">
            <w:pPr>
              <w:pStyle w:val="CS-IBMTableText"/>
              <w:rPr>
                <w:rFonts w:eastAsia="IBM Plex Sans"/>
              </w:rPr>
            </w:pPr>
            <w:r w:rsidRPr="00DA0139">
              <w:rPr>
                <w:rFonts w:eastAsia="IBM Plex Sans"/>
              </w:rPr>
              <w:t xml:space="preserve">QA </w:t>
            </w:r>
            <w:r w:rsidR="00775B0B" w:rsidRPr="00DA0139">
              <w:rPr>
                <w:rFonts w:eastAsia="IBM Plex Sans"/>
              </w:rPr>
              <w:t>Technical</w:t>
            </w:r>
            <w:r w:rsidRPr="00DA0139">
              <w:rPr>
                <w:rFonts w:eastAsia="IBM Plex Sans"/>
              </w:rPr>
              <w:t xml:space="preserve"> Manager</w:t>
            </w:r>
          </w:p>
        </w:tc>
      </w:tr>
      <w:tr w:rsidR="00602BCB" w:rsidRPr="001446FC" w14:paraId="7FCD3E0A"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6DDAB45F" w14:textId="3E49D061" w:rsidR="00602BCB" w:rsidRPr="00DA0139" w:rsidRDefault="00602BCB" w:rsidP="003B7BEB">
            <w:pPr>
              <w:pStyle w:val="CS-IBMTableText"/>
              <w:rPr>
                <w:rFonts w:eastAsia="IBM Plex Sans"/>
              </w:rPr>
            </w:pPr>
            <w:r w:rsidRPr="00DA0139">
              <w:rPr>
                <w:rFonts w:eastAsia="IBM Plex Sans"/>
              </w:rPr>
              <w:t>Subtask: 3.12 Security (6 Requirements)</w:t>
            </w:r>
            <w:r w:rsidR="00C15E3E">
              <w:rPr>
                <w:rFonts w:eastAsia="IBM Plex Sans"/>
              </w:rPr>
              <w:t xml:space="preserve"> </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A468E47" w14:textId="086EDFE7" w:rsidR="00602BCB" w:rsidRPr="00DA0139" w:rsidRDefault="00602BCB" w:rsidP="003B7BEB">
            <w:pPr>
              <w:pStyle w:val="CS-IBMTableText"/>
              <w:rPr>
                <w:rFonts w:eastAsia="IBM Plex Sans"/>
              </w:rPr>
            </w:pPr>
            <w:r w:rsidRPr="00DA0139">
              <w:rPr>
                <w:rFonts w:eastAsia="IBM Plex Sans"/>
              </w:rPr>
              <w:t xml:space="preserve">QA </w:t>
            </w:r>
            <w:r w:rsidR="00775B0B" w:rsidRPr="00DA0139">
              <w:rPr>
                <w:rFonts w:eastAsia="IBM Plex Sans"/>
              </w:rPr>
              <w:t>Technical</w:t>
            </w:r>
            <w:r w:rsidRPr="00DA0139">
              <w:rPr>
                <w:rFonts w:eastAsia="IBM Plex Sans"/>
              </w:rPr>
              <w:t xml:space="preserve"> Manager</w:t>
            </w:r>
          </w:p>
        </w:tc>
      </w:tr>
      <w:tr w:rsidR="00602BCB" w:rsidRPr="001446FC" w14:paraId="0C0DCA5F"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7FD1F665" w14:textId="77777777" w:rsidR="00602BCB" w:rsidRPr="00D90361" w:rsidRDefault="00602BCB" w:rsidP="003B7BEB">
            <w:pPr>
              <w:pStyle w:val="CS-IBMTableText"/>
              <w:rPr>
                <w:rFonts w:eastAsia="IBM Plex Sans"/>
                <w:b/>
                <w:bCs/>
              </w:rPr>
            </w:pPr>
            <w:r w:rsidRPr="00D90361">
              <w:rPr>
                <w:rFonts w:eastAsia="IBM Plex Sans"/>
                <w:b/>
                <w:bCs/>
              </w:rPr>
              <w:t>SOW Task Area: 4. Independent Test Requirements (11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bottom"/>
          </w:tcPr>
          <w:p w14:paraId="34E68F22"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042BD4F9"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081948C6" w14:textId="77777777" w:rsidR="00602BCB" w:rsidRPr="00DA0139" w:rsidRDefault="00602BCB" w:rsidP="003B7BEB">
            <w:pPr>
              <w:pStyle w:val="CS-IBMTableText"/>
              <w:rPr>
                <w:rFonts w:eastAsia="IBM Plex Sans"/>
              </w:rPr>
            </w:pPr>
            <w:r w:rsidRPr="00DA0139">
              <w:rPr>
                <w:rFonts w:eastAsia="IBM Plex Sans"/>
              </w:rPr>
              <w:t>Subtask: 4.1 Independent Test Planning, Executing and Reporting (11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D09987D" w14:textId="2E688641" w:rsidR="00602BCB" w:rsidRPr="00DA0139" w:rsidRDefault="00602BCB" w:rsidP="003B7BEB">
            <w:pPr>
              <w:pStyle w:val="CS-IBMTableText"/>
              <w:rPr>
                <w:rFonts w:eastAsia="IBM Plex Sans"/>
              </w:rPr>
            </w:pPr>
            <w:r w:rsidRPr="00DA0139">
              <w:rPr>
                <w:rFonts w:eastAsia="IBM Plex Sans"/>
              </w:rPr>
              <w:t xml:space="preserve">QA Test </w:t>
            </w:r>
            <w:r w:rsidR="00775B0B" w:rsidRPr="00DA0139">
              <w:rPr>
                <w:rFonts w:eastAsia="IBM Plex Sans"/>
              </w:rPr>
              <w:t>Manager</w:t>
            </w:r>
            <w:r w:rsidRPr="00DA0139">
              <w:rPr>
                <w:rFonts w:eastAsia="IBM Plex Sans"/>
              </w:rPr>
              <w:t>, QA Functional Manager</w:t>
            </w:r>
          </w:p>
        </w:tc>
      </w:tr>
      <w:tr w:rsidR="00602BCB" w:rsidRPr="001446FC" w14:paraId="22D682BD"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tcPr>
          <w:p w14:paraId="2095F49B" w14:textId="77777777" w:rsidR="00602BCB" w:rsidRPr="00D90361" w:rsidRDefault="00602BCB" w:rsidP="003B7BEB">
            <w:pPr>
              <w:pStyle w:val="CS-IBMTableText"/>
              <w:rPr>
                <w:rFonts w:eastAsia="IBM Plex Sans"/>
                <w:b/>
                <w:bCs/>
              </w:rPr>
            </w:pPr>
            <w:r w:rsidRPr="00D90361">
              <w:rPr>
                <w:rFonts w:eastAsia="IBM Plex Sans"/>
                <w:b/>
                <w:bCs/>
              </w:rPr>
              <w:t>SOW Task Area: 5. Transition-Out Requirements (7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bottom"/>
          </w:tcPr>
          <w:p w14:paraId="33D58EDD" w14:textId="77777777" w:rsidR="00602BCB" w:rsidRPr="00DA0139" w:rsidRDefault="00602BCB" w:rsidP="003B7BEB">
            <w:pPr>
              <w:pStyle w:val="CS-IBMTableText"/>
              <w:rPr>
                <w:rFonts w:eastAsia="IBM Plex Sans"/>
              </w:rPr>
            </w:pPr>
            <w:r w:rsidRPr="00DA0139">
              <w:rPr>
                <w:rFonts w:eastAsia="IBM Plex Sans"/>
              </w:rPr>
              <w:t xml:space="preserve"> </w:t>
            </w:r>
          </w:p>
        </w:tc>
      </w:tr>
      <w:tr w:rsidR="00602BCB" w:rsidRPr="001446FC" w14:paraId="52776367" w14:textId="77777777" w:rsidTr="003B7BEB">
        <w:trPr>
          <w:trHeight w:val="315"/>
        </w:trPr>
        <w:tc>
          <w:tcPr>
            <w:tcW w:w="55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80" w:type="dxa"/>
              <w:right w:w="15" w:type="dxa"/>
            </w:tcMar>
            <w:vAlign w:val="center"/>
          </w:tcPr>
          <w:p w14:paraId="1A6246F5" w14:textId="77777777" w:rsidR="00602BCB" w:rsidRPr="00DA0139" w:rsidRDefault="00602BCB" w:rsidP="003B7BEB">
            <w:pPr>
              <w:pStyle w:val="CS-IBMTableText"/>
              <w:rPr>
                <w:rFonts w:eastAsia="IBM Plex Sans"/>
              </w:rPr>
            </w:pPr>
            <w:r w:rsidRPr="00DA0139">
              <w:rPr>
                <w:rFonts w:eastAsia="IBM Plex Sans"/>
              </w:rPr>
              <w:t>Subtask: 5.1 Transition-Out Planning and Execution (7 Requirements)</w:t>
            </w:r>
          </w:p>
        </w:tc>
        <w:tc>
          <w:tcPr>
            <w:tcW w:w="3852"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748E49E" w14:textId="77777777" w:rsidR="00602BCB" w:rsidRPr="00DA0139" w:rsidRDefault="00602BCB" w:rsidP="003B7BEB">
            <w:pPr>
              <w:pStyle w:val="CS-IBMTableText"/>
              <w:rPr>
                <w:rFonts w:eastAsia="IBM Plex Sans"/>
              </w:rPr>
            </w:pPr>
            <w:r w:rsidRPr="00DA0139">
              <w:rPr>
                <w:rFonts w:eastAsia="IBM Plex Sans"/>
              </w:rPr>
              <w:t>QA Project Manager, QA Test Manager</w:t>
            </w:r>
          </w:p>
        </w:tc>
      </w:tr>
    </w:tbl>
    <w:p w14:paraId="086CAAEA" w14:textId="77777777" w:rsidR="006A4029" w:rsidRDefault="006A4029" w:rsidP="00D526CA">
      <w:pPr>
        <w:pStyle w:val="CS-IBMResponseText"/>
      </w:pPr>
    </w:p>
    <w:p w14:paraId="30DF9527" w14:textId="027CBC91" w:rsidR="00602BCB" w:rsidRPr="00DA0139" w:rsidRDefault="00602BCB" w:rsidP="00D526CA">
      <w:pPr>
        <w:pStyle w:val="CS-IBMResponseText"/>
      </w:pPr>
      <w:r w:rsidRPr="00DA0139">
        <w:t xml:space="preserve">In summary, IBM’s staffing strategy for CalSAWS is a strategically balanced hybrid model that combines </w:t>
      </w:r>
      <w:r w:rsidR="00E05D92">
        <w:t>Onsite leadership and</w:t>
      </w:r>
      <w:r w:rsidRPr="00DA0139">
        <w:t xml:space="preserve"> engagement with remote innovation, </w:t>
      </w:r>
      <w:r w:rsidRPr="006508D6">
        <w:rPr>
          <w:b/>
          <w:bCs/>
        </w:rPr>
        <w:t>provides continuity and stability, scales flexibly</w:t>
      </w:r>
      <w:r w:rsidRPr="00DA0139">
        <w:t xml:space="preserve">, </w:t>
      </w:r>
      <w:r w:rsidR="00E91E11">
        <w:t xml:space="preserve">improves productivity </w:t>
      </w:r>
      <w:r w:rsidR="00FD7160">
        <w:t xml:space="preserve">temporally </w:t>
      </w:r>
      <w:r w:rsidRPr="00DA0139">
        <w:t xml:space="preserve">and </w:t>
      </w:r>
      <w:r w:rsidRPr="00E267F7">
        <w:rPr>
          <w:b/>
          <w:bCs/>
        </w:rPr>
        <w:t>delivers innovation every release cycle</w:t>
      </w:r>
      <w:r w:rsidRPr="00DA0139">
        <w:t>. This approach is tailored to meet the Consortium’s immediate needs while providing a scalable framework for future growth. Supported by a proven QA/QC methodology, a robust network of skilled professionals, and strategic delivery centers, IBM is well-positioned to deliver enterprise-grade solutions that ensure the effective management and continuous advancement of California’s public assistance delivery systems.</w:t>
      </w:r>
    </w:p>
    <w:p w14:paraId="0C69BBEF" w14:textId="77777777" w:rsidR="00602BCB" w:rsidRPr="00DA0139" w:rsidRDefault="00602BCB" w:rsidP="00D526CA">
      <w:pPr>
        <w:pStyle w:val="CS-IBMResponseText"/>
      </w:pPr>
      <w:r w:rsidRPr="00DA0139">
        <w:t>The Consortium requires a QA staffing partner that provides continuity and stability, scales flexibly, and delivers innovation every release cycle. IBM’s staffing approach meets these expectations by:</w:t>
      </w:r>
    </w:p>
    <w:p w14:paraId="4F5B6D3B" w14:textId="77777777" w:rsidR="00602BCB" w:rsidRPr="00DA0139" w:rsidRDefault="00602BCB" w:rsidP="009D2A19">
      <w:pPr>
        <w:pStyle w:val="CS-IBMBullet1"/>
      </w:pPr>
      <w:r w:rsidRPr="00DA0139">
        <w:t>Embedding QA leadership onsite in Sacramento</w:t>
      </w:r>
    </w:p>
    <w:p w14:paraId="017A4D20" w14:textId="77777777" w:rsidR="00602BCB" w:rsidRPr="00DA0139" w:rsidRDefault="00602BCB" w:rsidP="009D2A19">
      <w:pPr>
        <w:pStyle w:val="CS-IBMBullet1"/>
      </w:pPr>
      <w:r w:rsidRPr="00DA0139">
        <w:t>Leveraging CIC-based innovation for automation, AI, and performance QA</w:t>
      </w:r>
    </w:p>
    <w:p w14:paraId="4BED6C30" w14:textId="77777777" w:rsidR="00602BCB" w:rsidRPr="00DA0139" w:rsidRDefault="00602BCB" w:rsidP="009D2A19">
      <w:pPr>
        <w:pStyle w:val="CS-IBMBullet1"/>
      </w:pPr>
      <w:r w:rsidRPr="00DA0139">
        <w:t>Providing surge staffing onsite or remotely to meet urgent mandates</w:t>
      </w:r>
    </w:p>
    <w:p w14:paraId="6E5C43AE" w14:textId="77777777" w:rsidR="00602BCB" w:rsidRPr="00DA0139" w:rsidRDefault="00602BCB" w:rsidP="009D2A19">
      <w:pPr>
        <w:pStyle w:val="CS-IBMBullet1"/>
      </w:pPr>
      <w:r w:rsidRPr="00DA0139">
        <w:lastRenderedPageBreak/>
        <w:t>Aligning QA with CalSAWS’ modernization roadmap on AWS and Oracle</w:t>
      </w:r>
    </w:p>
    <w:p w14:paraId="649D5222" w14:textId="77777777" w:rsidR="00602BCB" w:rsidRPr="00DA0139" w:rsidRDefault="00602BCB" w:rsidP="009D2A19">
      <w:pPr>
        <w:pStyle w:val="CS-IBMBullet1"/>
      </w:pPr>
      <w:r w:rsidRPr="00DA0139">
        <w:t>Investing in staff training to ensure program and system knowledge</w:t>
      </w:r>
    </w:p>
    <w:p w14:paraId="0264E029" w14:textId="4B0104CA" w:rsidR="00602BCB" w:rsidRPr="00DA0139" w:rsidRDefault="00602BCB" w:rsidP="00D526CA">
      <w:pPr>
        <w:pStyle w:val="CS-IBMResponseText"/>
      </w:pPr>
      <w:r w:rsidRPr="00DA0139">
        <w:t xml:space="preserve">IBM is one of the few vendors with the </w:t>
      </w:r>
      <w:r w:rsidR="00235A93">
        <w:t xml:space="preserve">global </w:t>
      </w:r>
      <w:r w:rsidRPr="00DA0139">
        <w:t xml:space="preserve">scale, consulting depth, technology </w:t>
      </w:r>
      <w:r w:rsidR="00235A93">
        <w:t xml:space="preserve">expertise and </w:t>
      </w:r>
      <w:r w:rsidRPr="00DA0139">
        <w:t>leadership, and public assistance expertise to match Deloitte, Gainwell, and other partners in the ecosystem. Our AWS, Oracle, AI, and DevSecOps capabilities ensure that the Consortium gains not just a vendor but a strategic QA partner equal in scale and immediately prepared to partner with the Consortium and</w:t>
      </w:r>
      <w:r w:rsidR="00C15E3E">
        <w:t xml:space="preserve"> </w:t>
      </w:r>
      <w:r w:rsidRPr="00DA0139">
        <w:t>CalSAWS’ other technology partners.</w:t>
      </w:r>
    </w:p>
    <w:p w14:paraId="377207DE" w14:textId="77777777" w:rsidR="00602BCB" w:rsidRPr="00DA0139" w:rsidRDefault="00602BCB" w:rsidP="00D526CA">
      <w:pPr>
        <w:pStyle w:val="CS-IBMResponseText"/>
      </w:pPr>
    </w:p>
    <w:p w14:paraId="3E6BF814" w14:textId="6D37CBF2" w:rsidR="008934B7" w:rsidRDefault="00BD5582" w:rsidP="008934B7">
      <w:pPr>
        <w:pStyle w:val="Heading3"/>
        <w:rPr>
          <w:rFonts w:ascii="Times New Roman" w:hAnsi="Times New Roman"/>
          <w:color w:val="auto"/>
          <w:sz w:val="27"/>
          <w:szCs w:val="27"/>
          <w:lang w:eastAsia="en-US"/>
        </w:rPr>
      </w:pPr>
      <w:bookmarkStart w:id="34" w:name="_Toc212460245"/>
      <w:r>
        <w:rPr>
          <w:rStyle w:val="Strong"/>
          <w:b/>
          <w:bCs w:val="0"/>
        </w:rPr>
        <w:t xml:space="preserve">3.1.10 </w:t>
      </w:r>
      <w:r w:rsidR="008934B7">
        <w:rPr>
          <w:rStyle w:val="Strong"/>
          <w:b/>
          <w:bCs w:val="0"/>
        </w:rPr>
        <w:t>Outcome and Strategic Value</w:t>
      </w:r>
      <w:bookmarkEnd w:id="34"/>
    </w:p>
    <w:p w14:paraId="4F18E4BE" w14:textId="77777777" w:rsidR="008934B7" w:rsidRPr="008934B7" w:rsidRDefault="008934B7" w:rsidP="008934B7">
      <w:pPr>
        <w:pStyle w:val="NormalWeb"/>
        <w:rPr>
          <w:rFonts w:ascii="Century Gothic" w:hAnsi="Century Gothic" w:cs="Arial"/>
          <w:color w:val="0D0D0D" w:themeColor="text1" w:themeTint="F2"/>
          <w:sz w:val="22"/>
          <w:szCs w:val="21"/>
        </w:rPr>
      </w:pPr>
      <w:r w:rsidRPr="008934B7">
        <w:rPr>
          <w:rFonts w:ascii="Century Gothic" w:hAnsi="Century Gothic" w:cs="Arial"/>
          <w:color w:val="0D0D0D" w:themeColor="text1" w:themeTint="F2"/>
          <w:sz w:val="22"/>
          <w:szCs w:val="21"/>
        </w:rPr>
        <w:t>IBM’s QA organization provides the Consortium with:</w:t>
      </w:r>
    </w:p>
    <w:p w14:paraId="090C1FD3" w14:textId="77777777" w:rsidR="008934B7" w:rsidRPr="008934B7" w:rsidRDefault="008934B7" w:rsidP="008934B7">
      <w:pPr>
        <w:pStyle w:val="NormalWeb"/>
        <w:numPr>
          <w:ilvl w:val="0"/>
          <w:numId w:val="38"/>
        </w:numPr>
        <w:spacing w:before="100" w:beforeAutospacing="1" w:after="100" w:afterAutospacing="1"/>
        <w:rPr>
          <w:rFonts w:ascii="Century Gothic" w:hAnsi="Century Gothic" w:cs="Arial"/>
          <w:color w:val="0D0D0D" w:themeColor="text1" w:themeTint="F2"/>
          <w:sz w:val="22"/>
          <w:szCs w:val="21"/>
        </w:rPr>
      </w:pPr>
      <w:r w:rsidRPr="008934B7">
        <w:rPr>
          <w:rFonts w:ascii="Century Gothic" w:hAnsi="Century Gothic" w:cs="Arial"/>
          <w:b/>
          <w:bCs/>
          <w:color w:val="0D0D0D" w:themeColor="text1" w:themeTint="F2"/>
          <w:sz w:val="22"/>
          <w:szCs w:val="21"/>
        </w:rPr>
        <w:t>Full visibility and control</w:t>
      </w:r>
      <w:r w:rsidRPr="008934B7">
        <w:rPr>
          <w:rFonts w:ascii="Century Gothic" w:hAnsi="Century Gothic" w:cs="Arial"/>
          <w:color w:val="0D0D0D" w:themeColor="text1" w:themeTint="F2"/>
          <w:sz w:val="22"/>
          <w:szCs w:val="21"/>
        </w:rPr>
        <w:t xml:space="preserve"> through clear governance touchpoints.</w:t>
      </w:r>
    </w:p>
    <w:p w14:paraId="312D8A1D" w14:textId="77777777" w:rsidR="008934B7" w:rsidRPr="008934B7" w:rsidRDefault="008934B7" w:rsidP="008934B7">
      <w:pPr>
        <w:pStyle w:val="NormalWeb"/>
        <w:numPr>
          <w:ilvl w:val="0"/>
          <w:numId w:val="38"/>
        </w:numPr>
        <w:spacing w:before="100" w:beforeAutospacing="1" w:after="100" w:afterAutospacing="1"/>
        <w:rPr>
          <w:rFonts w:ascii="Century Gothic" w:hAnsi="Century Gothic" w:cs="Arial"/>
          <w:color w:val="0D0D0D" w:themeColor="text1" w:themeTint="F2"/>
          <w:sz w:val="22"/>
          <w:szCs w:val="21"/>
        </w:rPr>
      </w:pPr>
      <w:r w:rsidRPr="008934B7">
        <w:rPr>
          <w:rFonts w:ascii="Century Gothic" w:hAnsi="Century Gothic" w:cs="Arial"/>
          <w:b/>
          <w:bCs/>
          <w:color w:val="0D0D0D" w:themeColor="text1" w:themeTint="F2"/>
          <w:sz w:val="22"/>
          <w:szCs w:val="21"/>
        </w:rPr>
        <w:t>Integrated collaboration</w:t>
      </w:r>
      <w:r w:rsidRPr="008934B7">
        <w:rPr>
          <w:rFonts w:ascii="Century Gothic" w:hAnsi="Century Gothic" w:cs="Arial"/>
          <w:color w:val="0D0D0D" w:themeColor="text1" w:themeTint="F2"/>
          <w:sz w:val="22"/>
          <w:szCs w:val="21"/>
        </w:rPr>
        <w:t xml:space="preserve"> across all vendor streams without duplication or overlap.</w:t>
      </w:r>
    </w:p>
    <w:p w14:paraId="3B1857AC" w14:textId="77777777" w:rsidR="008934B7" w:rsidRPr="008934B7" w:rsidRDefault="008934B7" w:rsidP="008934B7">
      <w:pPr>
        <w:pStyle w:val="NormalWeb"/>
        <w:numPr>
          <w:ilvl w:val="0"/>
          <w:numId w:val="38"/>
        </w:numPr>
        <w:spacing w:before="100" w:beforeAutospacing="1" w:after="100" w:afterAutospacing="1"/>
        <w:rPr>
          <w:rFonts w:ascii="Century Gothic" w:hAnsi="Century Gothic" w:cs="Arial"/>
          <w:color w:val="0D0D0D" w:themeColor="text1" w:themeTint="F2"/>
          <w:sz w:val="22"/>
          <w:szCs w:val="21"/>
        </w:rPr>
      </w:pPr>
      <w:r w:rsidRPr="008934B7">
        <w:rPr>
          <w:rFonts w:ascii="Century Gothic" w:hAnsi="Century Gothic" w:cs="Arial"/>
          <w:b/>
          <w:bCs/>
          <w:color w:val="0D0D0D" w:themeColor="text1" w:themeTint="F2"/>
          <w:sz w:val="22"/>
          <w:szCs w:val="21"/>
        </w:rPr>
        <w:t>Operational resilience</w:t>
      </w:r>
      <w:r w:rsidRPr="008934B7">
        <w:rPr>
          <w:rFonts w:ascii="Century Gothic" w:hAnsi="Century Gothic" w:cs="Arial"/>
          <w:color w:val="0D0D0D" w:themeColor="text1" w:themeTint="F2"/>
          <w:sz w:val="22"/>
          <w:szCs w:val="21"/>
        </w:rPr>
        <w:t xml:space="preserve"> through defined succession, reporting, and escalation channels.</w:t>
      </w:r>
    </w:p>
    <w:p w14:paraId="2FE832DC" w14:textId="77777777" w:rsidR="008934B7" w:rsidRPr="008934B7" w:rsidRDefault="008934B7" w:rsidP="008934B7">
      <w:pPr>
        <w:pStyle w:val="NormalWeb"/>
        <w:numPr>
          <w:ilvl w:val="0"/>
          <w:numId w:val="38"/>
        </w:numPr>
        <w:spacing w:before="100" w:beforeAutospacing="1" w:after="100" w:afterAutospacing="1"/>
        <w:rPr>
          <w:rFonts w:ascii="Century Gothic" w:hAnsi="Century Gothic" w:cs="Arial"/>
          <w:color w:val="0D0D0D" w:themeColor="text1" w:themeTint="F2"/>
          <w:sz w:val="22"/>
          <w:szCs w:val="21"/>
        </w:rPr>
      </w:pPr>
      <w:r w:rsidRPr="008934B7">
        <w:rPr>
          <w:rFonts w:ascii="Century Gothic" w:hAnsi="Century Gothic" w:cs="Arial"/>
          <w:b/>
          <w:bCs/>
          <w:color w:val="0D0D0D" w:themeColor="text1" w:themeTint="F2"/>
          <w:sz w:val="22"/>
          <w:szCs w:val="21"/>
        </w:rPr>
        <w:t>Continuous improvement</w:t>
      </w:r>
      <w:r w:rsidRPr="008934B7">
        <w:rPr>
          <w:rFonts w:ascii="Century Gothic" w:hAnsi="Century Gothic" w:cs="Arial"/>
          <w:color w:val="0D0D0D" w:themeColor="text1" w:themeTint="F2"/>
          <w:sz w:val="22"/>
          <w:szCs w:val="21"/>
        </w:rPr>
        <w:t xml:space="preserve"> through role-based accountability and automated metrics tracking.</w:t>
      </w:r>
    </w:p>
    <w:p w14:paraId="79F3DF6F" w14:textId="77777777" w:rsidR="008934B7" w:rsidRPr="008934B7" w:rsidRDefault="008934B7" w:rsidP="008934B7">
      <w:pPr>
        <w:pStyle w:val="NormalWeb"/>
        <w:rPr>
          <w:rFonts w:ascii="Century Gothic" w:hAnsi="Century Gothic" w:cs="Arial"/>
          <w:color w:val="0D0D0D" w:themeColor="text1" w:themeTint="F2"/>
          <w:sz w:val="22"/>
          <w:szCs w:val="21"/>
        </w:rPr>
      </w:pPr>
      <w:r w:rsidRPr="008934B7">
        <w:rPr>
          <w:rFonts w:ascii="Century Gothic" w:hAnsi="Century Gothic" w:cs="Arial"/>
          <w:color w:val="0D0D0D" w:themeColor="text1" w:themeTint="F2"/>
          <w:sz w:val="22"/>
          <w:szCs w:val="21"/>
        </w:rPr>
        <w:t xml:space="preserve">In short, this organizational model ensures that IBM operates </w:t>
      </w:r>
      <w:r w:rsidRPr="008934B7">
        <w:rPr>
          <w:rFonts w:ascii="Century Gothic" w:hAnsi="Century Gothic" w:cs="Arial"/>
          <w:b/>
          <w:bCs/>
          <w:color w:val="0D0D0D" w:themeColor="text1" w:themeTint="F2"/>
          <w:sz w:val="22"/>
          <w:szCs w:val="21"/>
        </w:rPr>
        <w:t>within—never outside—the Consortium’s governance model</w:t>
      </w:r>
      <w:r w:rsidRPr="008934B7">
        <w:rPr>
          <w:rFonts w:ascii="Century Gothic" w:hAnsi="Century Gothic" w:cs="Arial"/>
          <w:color w:val="0D0D0D" w:themeColor="text1" w:themeTint="F2"/>
          <w:sz w:val="22"/>
          <w:szCs w:val="21"/>
        </w:rPr>
        <w:t>, while bringing global quality management discipline, automation-driven efficiency, and collaborative transparency to the CalSAWS QA Services program.</w:t>
      </w:r>
    </w:p>
    <w:p w14:paraId="5F906EB0" w14:textId="433B69D7" w:rsidR="00640E8D" w:rsidRDefault="00640E8D" w:rsidP="007F70F6">
      <w:pPr>
        <w:pStyle w:val="CS-IBMResponseText"/>
      </w:pPr>
    </w:p>
    <w:p w14:paraId="42F33FE3" w14:textId="79E424AF" w:rsidR="00786B14" w:rsidRDefault="00786B14" w:rsidP="00786B14">
      <w:pPr>
        <w:pStyle w:val="Heading2"/>
      </w:pPr>
      <w:bookmarkStart w:id="35" w:name="_Toc212460246"/>
      <w:r>
        <w:t>Staffing Experience Details</w:t>
      </w:r>
      <w:bookmarkEnd w:id="35"/>
    </w:p>
    <w:p w14:paraId="08E6BB2A" w14:textId="77777777" w:rsidR="00786B14" w:rsidRDefault="00786B14" w:rsidP="00786B14">
      <w:pPr>
        <w:pStyle w:val="CS-RFPBodyText"/>
      </w:pPr>
      <w:r>
        <w:t>The Bidder shall provide Key Staff qualifications for all Key Staff in accordance with the format prescribed in Attachment 10 – Staff Qualifications.</w:t>
      </w:r>
    </w:p>
    <w:p w14:paraId="2328B540" w14:textId="7F458B08" w:rsidR="00583294" w:rsidRDefault="00613150">
      <w:pPr>
        <w:pStyle w:val="CS-IBMResponseText"/>
      </w:pPr>
      <w:r>
        <w:t xml:space="preserve">See </w:t>
      </w:r>
      <w:r w:rsidR="007737E2">
        <w:t>separate</w:t>
      </w:r>
      <w:r>
        <w:t xml:space="preserve"> Excel </w:t>
      </w:r>
      <w:r w:rsidR="00D94DAA">
        <w:t>file</w:t>
      </w:r>
      <w:r w:rsidR="00E23276">
        <w:t>s for</w:t>
      </w:r>
      <w:r w:rsidR="0000714D">
        <w:t xml:space="preserve"> each of the </w:t>
      </w:r>
      <w:r>
        <w:t>Attachment 10 Key Staff Worksheets</w:t>
      </w:r>
      <w:r w:rsidR="008107BC">
        <w:t xml:space="preserve"> titled as follows:</w:t>
      </w:r>
    </w:p>
    <w:p w14:paraId="02CE677A" w14:textId="03D1A9EC" w:rsidR="008107BC" w:rsidRDefault="00075CA1" w:rsidP="00A86C90">
      <w:pPr>
        <w:pStyle w:val="CS-IBMResponseText"/>
        <w:numPr>
          <w:ilvl w:val="0"/>
          <w:numId w:val="34"/>
        </w:numPr>
      </w:pPr>
      <w:r w:rsidRPr="00075CA1">
        <w:t>11. Vol 1 Sect 5 Att 10.1.1 Key Staff Quals - IBM (Krishna Menon)</w:t>
      </w:r>
      <w:r w:rsidR="001B1E6D">
        <w:t>.xlsx</w:t>
      </w:r>
    </w:p>
    <w:p w14:paraId="2365D35E" w14:textId="0AD15158" w:rsidR="007A40F3" w:rsidRDefault="007A40F3" w:rsidP="00A86C90">
      <w:pPr>
        <w:pStyle w:val="CS-IBMResponseText"/>
        <w:numPr>
          <w:ilvl w:val="0"/>
          <w:numId w:val="34"/>
        </w:numPr>
      </w:pPr>
      <w:r w:rsidRPr="007A40F3">
        <w:t>12. Vol 1 Sect 5 Att 10.1.2 Key Staff Quals-IBM (Carrie Harvey)</w:t>
      </w:r>
      <w:r w:rsidR="001B1E6D">
        <w:t>.xlsx</w:t>
      </w:r>
    </w:p>
    <w:p w14:paraId="36B9B4E6" w14:textId="2B7BC85E" w:rsidR="001B1E6D" w:rsidRDefault="001B1E6D" w:rsidP="00A86C90">
      <w:pPr>
        <w:pStyle w:val="CS-IBMResponseText"/>
        <w:numPr>
          <w:ilvl w:val="0"/>
          <w:numId w:val="34"/>
        </w:numPr>
      </w:pPr>
      <w:r w:rsidRPr="001B1E6D">
        <w:t>13. Vol 1 Sect 5 Att 10.1.3 Key Staff Quals - IBM (Cheryl Hofmann)</w:t>
      </w:r>
      <w:r>
        <w:t>.xlsx</w:t>
      </w:r>
    </w:p>
    <w:p w14:paraId="2E84E22B" w14:textId="6DC60C6B" w:rsidR="001B1E6D" w:rsidRDefault="00AB02CB" w:rsidP="00A86C90">
      <w:pPr>
        <w:pStyle w:val="CS-IBMResponseText"/>
        <w:numPr>
          <w:ilvl w:val="0"/>
          <w:numId w:val="34"/>
        </w:numPr>
      </w:pPr>
      <w:r w:rsidRPr="00AB02CB">
        <w:t xml:space="preserve">14. Vol 1 Sect 5 Att 10.1.4 Key Staff Quals - IBM (Sivaprakash Ramachandran </w:t>
      </w:r>
      <w:r>
        <w:t>.xlxs</w:t>
      </w:r>
    </w:p>
    <w:p w14:paraId="1F228102" w14:textId="77777777" w:rsidR="00AB02CB" w:rsidRDefault="00AB02CB" w:rsidP="00AB02CB">
      <w:pPr>
        <w:pStyle w:val="CS-IBMResponseText"/>
      </w:pPr>
    </w:p>
    <w:p w14:paraId="33A55426" w14:textId="77777777" w:rsidR="00D3437F" w:rsidRPr="00AB0D6B" w:rsidRDefault="00D3437F" w:rsidP="00D3437F">
      <w:pPr>
        <w:pStyle w:val="CS-RFPBodyText"/>
      </w:pPr>
      <w:r>
        <w:t>The Bidder shall provide two (2) Individual Reference Checks for all Key Staff in accordance with the format prescribed in Attachment 11 – Staff Reference Form.</w:t>
      </w:r>
    </w:p>
    <w:p w14:paraId="0FF9332B" w14:textId="7FDB6876" w:rsidR="00561669" w:rsidRDefault="00D3437F" w:rsidP="00AB02CB">
      <w:pPr>
        <w:pStyle w:val="CS-IBMResponseText"/>
      </w:pPr>
      <w:r>
        <w:t>See separate</w:t>
      </w:r>
      <w:r w:rsidR="00DF56C0">
        <w:t xml:space="preserve"> file </w:t>
      </w:r>
      <w:r w:rsidR="008268CE">
        <w:t xml:space="preserve">containing at least 2 individual Reference Checks for each of our Key Staff proposed in accordance with the format prescrived in Attachment 11. </w:t>
      </w:r>
    </w:p>
    <w:p w14:paraId="61FF59B5" w14:textId="77777777" w:rsidR="000636EB" w:rsidRDefault="000636EB" w:rsidP="00AB02CB">
      <w:pPr>
        <w:pStyle w:val="CS-IBMResponseText"/>
      </w:pPr>
    </w:p>
    <w:p w14:paraId="3CB6155F" w14:textId="53236320" w:rsidR="001B1E6D" w:rsidRDefault="00B36B7C" w:rsidP="00A86C90">
      <w:pPr>
        <w:pStyle w:val="CS-IBMResponseText"/>
        <w:numPr>
          <w:ilvl w:val="0"/>
          <w:numId w:val="34"/>
        </w:numPr>
      </w:pPr>
      <w:r w:rsidRPr="00B36B7C">
        <w:t>15. Vol 1 Sect 5 Att 11 Key Staff Reference Forms – IBM</w:t>
      </w:r>
      <w:r>
        <w:t>.zip</w:t>
      </w:r>
    </w:p>
    <w:p w14:paraId="523BBA88" w14:textId="7FD0B8F3" w:rsidR="00B36B7C" w:rsidRDefault="008A46E9" w:rsidP="00B36B7C">
      <w:pPr>
        <w:pStyle w:val="CS-IBMResponseText"/>
        <w:numPr>
          <w:ilvl w:val="1"/>
          <w:numId w:val="34"/>
        </w:numPr>
      </w:pPr>
      <w:r w:rsidRPr="008A46E9">
        <w:t>15.1. Att 11 - Key Staff Reference Forms - IBM (Krishna Menon)</w:t>
      </w:r>
    </w:p>
    <w:p w14:paraId="09933C5F" w14:textId="0A4D3152" w:rsidR="008A46E9" w:rsidRDefault="00890806" w:rsidP="00B36B7C">
      <w:pPr>
        <w:pStyle w:val="CS-IBMResponseText"/>
        <w:numPr>
          <w:ilvl w:val="1"/>
          <w:numId w:val="34"/>
        </w:numPr>
      </w:pPr>
      <w:r w:rsidRPr="00890806">
        <w:t>15.2 Att 11 - Key Staff Reference Forms - IBM (Krishna Menon)</w:t>
      </w:r>
    </w:p>
    <w:p w14:paraId="4A1FD448" w14:textId="00542A46" w:rsidR="00890806" w:rsidRDefault="00025E43" w:rsidP="00B36B7C">
      <w:pPr>
        <w:pStyle w:val="CS-IBMResponseText"/>
        <w:numPr>
          <w:ilvl w:val="1"/>
          <w:numId w:val="34"/>
        </w:numPr>
      </w:pPr>
      <w:r w:rsidRPr="00025E43">
        <w:t>15.3 Att 11 - Key Staff Reference Forms - IBM (Carrie Harvey)</w:t>
      </w:r>
    </w:p>
    <w:p w14:paraId="1B88C5D9" w14:textId="7406E50B" w:rsidR="00025E43" w:rsidRDefault="00451FAC" w:rsidP="00B36B7C">
      <w:pPr>
        <w:pStyle w:val="CS-IBMResponseText"/>
        <w:numPr>
          <w:ilvl w:val="1"/>
          <w:numId w:val="34"/>
        </w:numPr>
      </w:pPr>
      <w:r w:rsidRPr="00451FAC">
        <w:t>15.4 Att 11 - Key Staff Reference Forms - IBM (Carrie Harvey)</w:t>
      </w:r>
    </w:p>
    <w:p w14:paraId="05092D1F" w14:textId="63A3F8DE" w:rsidR="00B8018F" w:rsidRDefault="00B8018F" w:rsidP="00B36B7C">
      <w:pPr>
        <w:pStyle w:val="CS-IBMResponseText"/>
        <w:numPr>
          <w:ilvl w:val="1"/>
          <w:numId w:val="34"/>
        </w:numPr>
      </w:pPr>
      <w:r w:rsidRPr="00B8018F">
        <w:t>15.5 Att 11 - Key Staff Reference Form - IBM (Cheryl Hofmann)</w:t>
      </w:r>
    </w:p>
    <w:p w14:paraId="09FBA7FE" w14:textId="1094AA67" w:rsidR="008F29CF" w:rsidRDefault="008F29CF" w:rsidP="00B36B7C">
      <w:pPr>
        <w:pStyle w:val="CS-IBMResponseText"/>
        <w:numPr>
          <w:ilvl w:val="1"/>
          <w:numId w:val="34"/>
        </w:numPr>
      </w:pPr>
      <w:r w:rsidRPr="008F29CF">
        <w:t>15.6 Att 11 - Key Staff Reference Form - IBM (Cheryl Hofmann)</w:t>
      </w:r>
    </w:p>
    <w:p w14:paraId="3CC62157" w14:textId="101A476D" w:rsidR="008F29CF" w:rsidRDefault="004C2684" w:rsidP="00B36B7C">
      <w:pPr>
        <w:pStyle w:val="CS-IBMResponseText"/>
        <w:numPr>
          <w:ilvl w:val="1"/>
          <w:numId w:val="34"/>
        </w:numPr>
      </w:pPr>
      <w:r w:rsidRPr="004C2684">
        <w:t>15.7 Att 11 - Key Staff Reference Form - IBM (Cheryl Hofmann)</w:t>
      </w:r>
    </w:p>
    <w:p w14:paraId="462743C9" w14:textId="58903D86" w:rsidR="004C2684" w:rsidRDefault="00ED46AA" w:rsidP="00B36B7C">
      <w:pPr>
        <w:pStyle w:val="CS-IBMResponseText"/>
        <w:numPr>
          <w:ilvl w:val="1"/>
          <w:numId w:val="34"/>
        </w:numPr>
      </w:pPr>
      <w:r w:rsidRPr="00ED46AA">
        <w:t>15.8 Att 11 - Key Staff Reference Form - IBM (Sivaprakash Ramachandran )</w:t>
      </w:r>
    </w:p>
    <w:p w14:paraId="4EAF18B2" w14:textId="36FECFF5" w:rsidR="002A662F" w:rsidRDefault="00E37D4D" w:rsidP="00B36B7C">
      <w:pPr>
        <w:pStyle w:val="CS-IBMResponseText"/>
        <w:numPr>
          <w:ilvl w:val="1"/>
          <w:numId w:val="34"/>
        </w:numPr>
      </w:pPr>
      <w:r w:rsidRPr="00E37D4D">
        <w:t>15.9 Att 11 - Key Staff Reference Form - IBM (Sivaprakash Ramachandran )</w:t>
      </w:r>
    </w:p>
    <w:p w14:paraId="75BE33ED" w14:textId="77777777" w:rsidR="007F70F6" w:rsidRDefault="007F70F6" w:rsidP="007F70F6">
      <w:pPr>
        <w:pStyle w:val="CS-IBMResponseText"/>
      </w:pPr>
    </w:p>
    <w:p w14:paraId="4B3EC24E" w14:textId="77777777" w:rsidR="000A2164" w:rsidRDefault="000A2164">
      <w:pPr>
        <w:pStyle w:val="CS-IBMResponseText"/>
      </w:pPr>
    </w:p>
    <w:p w14:paraId="148ABADB" w14:textId="33216D1B" w:rsidR="00CF458C" w:rsidRDefault="00CF458C" w:rsidP="00640E8D">
      <w:pPr>
        <w:pStyle w:val="CS-IBMResponseText"/>
      </w:pPr>
    </w:p>
    <w:sectPr w:rsidR="00CF458C" w:rsidSect="00212026">
      <w:headerReference w:type="default" r:id="rId19"/>
      <w:footerReference w:type="default" r:id="rId20"/>
      <w:pgSz w:w="12240" w:h="15840" w:code="1"/>
      <w:pgMar w:top="1323" w:right="1440" w:bottom="1197" w:left="1440" w:header="504" w:footer="42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96E3F5" w14:textId="77777777" w:rsidR="00416EC2" w:rsidRDefault="00416EC2" w:rsidP="00C25E9E">
      <w:r>
        <w:separator/>
      </w:r>
    </w:p>
    <w:p w14:paraId="0AB41D6D" w14:textId="77777777" w:rsidR="00416EC2" w:rsidRDefault="00416EC2" w:rsidP="00C25E9E"/>
    <w:p w14:paraId="3AD995F8" w14:textId="77777777" w:rsidR="00416EC2" w:rsidRDefault="00416EC2"/>
    <w:p w14:paraId="485B2DD9" w14:textId="77777777" w:rsidR="00416EC2" w:rsidRDefault="00416EC2"/>
    <w:p w14:paraId="6CFAC71B" w14:textId="77777777" w:rsidR="00416EC2" w:rsidRDefault="00416EC2"/>
  </w:endnote>
  <w:endnote w:type="continuationSeparator" w:id="0">
    <w:p w14:paraId="2245F466" w14:textId="77777777" w:rsidR="00416EC2" w:rsidRDefault="00416EC2" w:rsidP="00C25E9E">
      <w:r>
        <w:continuationSeparator/>
      </w:r>
    </w:p>
    <w:p w14:paraId="70BDBBCD" w14:textId="77777777" w:rsidR="00416EC2" w:rsidRDefault="00416EC2" w:rsidP="00C25E9E"/>
    <w:p w14:paraId="39DAA401" w14:textId="77777777" w:rsidR="00416EC2" w:rsidRDefault="00416EC2"/>
    <w:p w14:paraId="13D29002" w14:textId="77777777" w:rsidR="00416EC2" w:rsidRDefault="00416EC2"/>
    <w:p w14:paraId="0FEB67CF" w14:textId="77777777" w:rsidR="00416EC2" w:rsidRDefault="00416E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系统字体常规体">
    <w:altName w:val="Yu Gothic"/>
    <w:charset w:val="80"/>
    <w:family w:val="roman"/>
    <w:pitch w:val="default"/>
    <w:sig w:usb0="00002A87" w:usb1="08070000" w:usb2="00000010" w:usb3="00000000" w:csb0="000201FF" w:csb1="00000000"/>
  </w:font>
  <w:font w:name="Century Gothic">
    <w:altName w:val="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IBM Plex Sans">
    <w:panose1 w:val="020B0503050203000203"/>
    <w:charset w:val="00"/>
    <w:family w:val="swiss"/>
    <w:pitch w:val="variable"/>
    <w:sig w:usb0="A00002EF" w:usb1="5000203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Bold">
    <w:altName w:val="Arial"/>
    <w:panose1 w:val="020B0704020202020204"/>
    <w:charset w:val="00"/>
    <w:family w:val="auto"/>
    <w:pitch w:val="variable"/>
    <w:sig w:usb0="E0002A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IBM Plex Sans Medm">
    <w:panose1 w:val="020B0603050203000203"/>
    <w:charset w:val="00"/>
    <w:family w:val="swiss"/>
    <w:pitch w:val="variable"/>
    <w:sig w:usb0="A00002EF" w:usb1="5000203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C7E98" w14:textId="33F0CEA2" w:rsidR="00E72660" w:rsidRPr="00DE3304" w:rsidRDefault="00DE3304" w:rsidP="00DE3304">
    <w:pPr>
      <w:pStyle w:val="Footer"/>
      <w:pBdr>
        <w:top w:val="single" w:sz="4" w:space="10" w:color="auto"/>
      </w:pBdr>
      <w:spacing w:before="240"/>
      <w:rPr>
        <w:szCs w:val="18"/>
      </w:rPr>
    </w:pPr>
    <w:r>
      <w:drawing>
        <wp:anchor distT="0" distB="0" distL="114300" distR="114300" simplePos="0" relativeHeight="251658242" behindDoc="1" locked="1" layoutInCell="1" allowOverlap="1" wp14:anchorId="4B0B583D" wp14:editId="0D44E658">
          <wp:simplePos x="0" y="0"/>
          <wp:positionH relativeFrom="margin">
            <wp:align>left</wp:align>
          </wp:positionH>
          <wp:positionV relativeFrom="page">
            <wp:posOffset>9582785</wp:posOffset>
          </wp:positionV>
          <wp:extent cx="497205" cy="194945"/>
          <wp:effectExtent l="0" t="0" r="0" b="0"/>
          <wp:wrapNone/>
          <wp:docPr id="489342985" name="Picture 489342985" descr="A blue and black striped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ue and black striped logo&#10;&#10;AI-generated content may be incorrect."/>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97205" cy="194945"/>
                  </a:xfrm>
                  <a:prstGeom prst="rect">
                    <a:avLst/>
                  </a:prstGeom>
                </pic:spPr>
              </pic:pic>
            </a:graphicData>
          </a:graphic>
          <wp14:sizeRelH relativeFrom="page">
            <wp14:pctWidth>0</wp14:pctWidth>
          </wp14:sizeRelH>
          <wp14:sizeRelV relativeFrom="page">
            <wp14:pctHeight>0</wp14:pctHeight>
          </wp14:sizeRelV>
        </wp:anchor>
      </w:drawing>
    </w:r>
    <w:r>
      <w:rPr>
        <w:szCs w:val="18"/>
      </w:rPr>
      <w:t xml:space="preserve"> </w:t>
    </w:r>
    <w:r w:rsidRPr="005232E1">
      <w:rPr>
        <w:szCs w:val="18"/>
      </w:rPr>
      <w:tab/>
    </w:r>
    <w:r w:rsidRPr="005232E1">
      <w:rPr>
        <w:szCs w:val="18"/>
      </w:rPr>
      <w:tab/>
      <w:t xml:space="preserve">Page | </w:t>
    </w:r>
    <w:r w:rsidRPr="005232E1">
      <w:rPr>
        <w:szCs w:val="18"/>
      </w:rPr>
      <w:fldChar w:fldCharType="begin"/>
    </w:r>
    <w:r w:rsidRPr="005232E1">
      <w:rPr>
        <w:szCs w:val="18"/>
      </w:rPr>
      <w:instrText xml:space="preserve"> PAGE </w:instrText>
    </w:r>
    <w:r w:rsidRPr="005232E1">
      <w:rPr>
        <w:szCs w:val="18"/>
      </w:rPr>
      <w:fldChar w:fldCharType="separate"/>
    </w:r>
    <w:r>
      <w:rPr>
        <w:szCs w:val="18"/>
      </w:rPr>
      <w:t>69</w:t>
    </w:r>
    <w:r w:rsidRPr="005232E1">
      <w:rPr>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8D178" w14:textId="305EA14F" w:rsidR="00E1306C" w:rsidRPr="00DE3304" w:rsidRDefault="00DE3304" w:rsidP="00DE3304">
    <w:pPr>
      <w:pStyle w:val="Footer"/>
      <w:pBdr>
        <w:top w:val="single" w:sz="4" w:space="10" w:color="auto"/>
      </w:pBdr>
      <w:spacing w:before="240"/>
      <w:rPr>
        <w:szCs w:val="18"/>
      </w:rPr>
    </w:pPr>
    <w:r>
      <w:drawing>
        <wp:anchor distT="0" distB="0" distL="114300" distR="114300" simplePos="0" relativeHeight="251658243" behindDoc="1" locked="1" layoutInCell="1" allowOverlap="1" wp14:anchorId="00B371E7" wp14:editId="7F255B78">
          <wp:simplePos x="0" y="0"/>
          <wp:positionH relativeFrom="margin">
            <wp:align>left</wp:align>
          </wp:positionH>
          <wp:positionV relativeFrom="page">
            <wp:posOffset>9582785</wp:posOffset>
          </wp:positionV>
          <wp:extent cx="497205" cy="194945"/>
          <wp:effectExtent l="0" t="0" r="0" b="0"/>
          <wp:wrapNone/>
          <wp:docPr id="913617676" name="Picture 913617676" descr="A blue and black striped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blue and black striped logo&#10;&#10;AI-generated content may be incorrect."/>
                  <pic:cNvPicPr/>
                </pic:nvPicPr>
                <pic:blipFill>
                  <a:blip r:embed="rId1">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497205" cy="194945"/>
                  </a:xfrm>
                  <a:prstGeom prst="rect">
                    <a:avLst/>
                  </a:prstGeom>
                </pic:spPr>
              </pic:pic>
            </a:graphicData>
          </a:graphic>
          <wp14:sizeRelH relativeFrom="page">
            <wp14:pctWidth>0</wp14:pctWidth>
          </wp14:sizeRelH>
          <wp14:sizeRelV relativeFrom="page">
            <wp14:pctHeight>0</wp14:pctHeight>
          </wp14:sizeRelV>
        </wp:anchor>
      </w:drawing>
    </w:r>
    <w:r>
      <w:rPr>
        <w:szCs w:val="18"/>
      </w:rPr>
      <w:t xml:space="preserve"> </w:t>
    </w:r>
    <w:r w:rsidRPr="005232E1">
      <w:rPr>
        <w:szCs w:val="18"/>
      </w:rPr>
      <w:tab/>
    </w:r>
    <w:r w:rsidRPr="005232E1">
      <w:rPr>
        <w:szCs w:val="18"/>
      </w:rPr>
      <w:tab/>
      <w:t xml:space="preserve">Page | </w:t>
    </w:r>
    <w:r w:rsidRPr="005232E1">
      <w:rPr>
        <w:szCs w:val="18"/>
      </w:rPr>
      <w:fldChar w:fldCharType="begin"/>
    </w:r>
    <w:r w:rsidRPr="005232E1">
      <w:rPr>
        <w:szCs w:val="18"/>
      </w:rPr>
      <w:instrText xml:space="preserve"> PAGE </w:instrText>
    </w:r>
    <w:r w:rsidRPr="005232E1">
      <w:rPr>
        <w:szCs w:val="18"/>
      </w:rPr>
      <w:fldChar w:fldCharType="separate"/>
    </w:r>
    <w:r>
      <w:rPr>
        <w:szCs w:val="18"/>
      </w:rPr>
      <w:t>69</w:t>
    </w:r>
    <w:r w:rsidRPr="005232E1">
      <w:rPr>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EAEA3C" w14:textId="77777777" w:rsidR="00416EC2" w:rsidRDefault="00416EC2" w:rsidP="00C25E9E">
      <w:r>
        <w:separator/>
      </w:r>
    </w:p>
    <w:p w14:paraId="5428CDA5" w14:textId="77777777" w:rsidR="00416EC2" w:rsidRDefault="00416EC2" w:rsidP="00C25E9E"/>
    <w:p w14:paraId="3C662894" w14:textId="77777777" w:rsidR="00416EC2" w:rsidRDefault="00416EC2"/>
    <w:p w14:paraId="362F9659" w14:textId="77777777" w:rsidR="00416EC2" w:rsidRDefault="00416EC2"/>
    <w:p w14:paraId="5AA7B357" w14:textId="77777777" w:rsidR="00416EC2" w:rsidRDefault="00416EC2"/>
  </w:footnote>
  <w:footnote w:type="continuationSeparator" w:id="0">
    <w:p w14:paraId="56E153E0" w14:textId="77777777" w:rsidR="00416EC2" w:rsidRDefault="00416EC2" w:rsidP="00C25E9E">
      <w:r>
        <w:continuationSeparator/>
      </w:r>
    </w:p>
    <w:p w14:paraId="1D5BA09A" w14:textId="77777777" w:rsidR="00416EC2" w:rsidRDefault="00416EC2" w:rsidP="00C25E9E"/>
    <w:p w14:paraId="5F2D00D2" w14:textId="77777777" w:rsidR="00416EC2" w:rsidRDefault="00416EC2"/>
    <w:p w14:paraId="5C856010" w14:textId="77777777" w:rsidR="00416EC2" w:rsidRDefault="00416EC2"/>
    <w:p w14:paraId="03C3359C" w14:textId="77777777" w:rsidR="00416EC2" w:rsidRDefault="00416E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D64CF" w14:textId="77777777" w:rsidR="004D7D12" w:rsidRDefault="004D7D12" w:rsidP="00324ACB">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0008081E" w:rsidRPr="0008081E">
      <w:rPr>
        <w:rFonts w:cs="Times New Roman"/>
      </w:rPr>
      <w:t>CalSAWS</w:t>
    </w:r>
    <w:r>
      <w:rPr>
        <w:rFonts w:cs="Times New Roman"/>
      </w:rPr>
      <w:t>)</w:t>
    </w:r>
  </w:p>
  <w:p w14:paraId="24A7AB3C" w14:textId="7AA0CB2B" w:rsidR="00206614" w:rsidRPr="002A65F1" w:rsidRDefault="004D7D12" w:rsidP="00324ACB">
    <w:pPr>
      <w:pStyle w:val="CS-IBMHeader"/>
      <w:pBdr>
        <w:bottom w:val="none" w:sz="0" w:space="0" w:color="auto"/>
      </w:pBdr>
      <w:spacing w:after="0"/>
      <w:rPr>
        <w:rFonts w:cs="Times New Roman"/>
        <w:highlight w:val="yellow"/>
      </w:rPr>
    </w:pPr>
    <w:r>
      <w:rPr>
        <w:rFonts w:cs="Times New Roman"/>
      </w:rPr>
      <w:t>Q</w:t>
    </w:r>
    <w:r w:rsidR="0008081E" w:rsidRPr="0008081E">
      <w:rPr>
        <w:rFonts w:cs="Times New Roman"/>
      </w:rPr>
      <w:t>uality Assurance (QA) Services RFP #01-2025</w:t>
    </w:r>
    <w:r w:rsidR="00206614" w:rsidRPr="00206614">
      <w:rPr>
        <w:rFonts w:cs="Times New Roman"/>
        <w:highlight w:val="yellow"/>
      </w:rPr>
      <w:drawing>
        <wp:anchor distT="0" distB="0" distL="114300" distR="114300" simplePos="0" relativeHeight="251658240" behindDoc="1" locked="0" layoutInCell="1" allowOverlap="1" wp14:anchorId="55F27EBC" wp14:editId="52F4C5EB">
          <wp:simplePos x="0" y="0"/>
          <wp:positionH relativeFrom="margin">
            <wp:align>right</wp:align>
          </wp:positionH>
          <wp:positionV relativeFrom="paragraph">
            <wp:posOffset>3387</wp:posOffset>
          </wp:positionV>
          <wp:extent cx="1157605" cy="158115"/>
          <wp:effectExtent l="0" t="0" r="4445" b="0"/>
          <wp:wrapNone/>
          <wp:docPr id="387187719" name="Picture 387187719">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4F60D0DF" w14:textId="77777777" w:rsidR="00877442" w:rsidRDefault="00877442" w:rsidP="00314784">
    <w:pPr>
      <w:pBdr>
        <w:bottom w:val="single" w:sz="4" w:space="1" w:color="7F7F7F"/>
      </w:pBdr>
      <w:spacing w:before="0" w:after="0"/>
    </w:pPr>
  </w:p>
  <w:p w14:paraId="5039DE11" w14:textId="77777777" w:rsidR="00E948FB" w:rsidRPr="00877442" w:rsidRDefault="00E948FB" w:rsidP="00877442">
    <w:pPr>
      <w:pStyle w:val="Header"/>
      <w:pBdr>
        <w:bottom w:val="none" w:sz="0" w:space="0" w:color="auto"/>
      </w:pBdr>
      <w:spacing w:befor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07185" w14:textId="77777777" w:rsidR="004D7D12" w:rsidRDefault="004D7D12" w:rsidP="004D7D12">
    <w:pPr>
      <w:pStyle w:val="CS-IBMHeader"/>
      <w:pBdr>
        <w:bottom w:val="none" w:sz="0" w:space="0" w:color="auto"/>
      </w:pBdr>
      <w:spacing w:after="0"/>
      <w:rPr>
        <w:rFonts w:cs="Times New Roman"/>
      </w:rPr>
    </w:pPr>
    <w:r w:rsidRPr="004D7D12">
      <w:rPr>
        <w:rFonts w:cs="Times New Roman"/>
      </w:rPr>
      <w:t>California Statewide Automated Welfare System</w:t>
    </w:r>
    <w:r>
      <w:rPr>
        <w:rFonts w:cs="Times New Roman"/>
      </w:rPr>
      <w:t xml:space="preserve"> (</w:t>
    </w:r>
    <w:r w:rsidRPr="0008081E">
      <w:rPr>
        <w:rFonts w:cs="Times New Roman"/>
      </w:rPr>
      <w:t>CalSAWS</w:t>
    </w:r>
    <w:r>
      <w:rPr>
        <w:rFonts w:cs="Times New Roman"/>
      </w:rPr>
      <w:t>)</w:t>
    </w:r>
  </w:p>
  <w:p w14:paraId="442FC9D7" w14:textId="77777777" w:rsidR="004D7D12" w:rsidRPr="002A65F1" w:rsidRDefault="004D7D12" w:rsidP="004D7D12">
    <w:pPr>
      <w:pStyle w:val="CS-IBMHeader"/>
      <w:pBdr>
        <w:bottom w:val="none" w:sz="0" w:space="0" w:color="auto"/>
      </w:pBdr>
      <w:spacing w:after="0"/>
      <w:rPr>
        <w:rFonts w:cs="Times New Roman"/>
        <w:highlight w:val="yellow"/>
      </w:rPr>
    </w:pPr>
    <w:r>
      <w:rPr>
        <w:rFonts w:cs="Times New Roman"/>
      </w:rPr>
      <w:t>Q</w:t>
    </w:r>
    <w:r w:rsidRPr="0008081E">
      <w:rPr>
        <w:rFonts w:cs="Times New Roman"/>
      </w:rPr>
      <w:t>uality Assurance (QA) Services RFP #01-2025</w:t>
    </w:r>
    <w:r w:rsidRPr="00206614">
      <w:rPr>
        <w:rFonts w:cs="Times New Roman"/>
        <w:highlight w:val="yellow"/>
      </w:rPr>
      <w:drawing>
        <wp:anchor distT="0" distB="0" distL="114300" distR="114300" simplePos="0" relativeHeight="251658241" behindDoc="1" locked="0" layoutInCell="1" allowOverlap="1" wp14:anchorId="279856EA" wp14:editId="1A4B2374">
          <wp:simplePos x="0" y="0"/>
          <wp:positionH relativeFrom="margin">
            <wp:align>right</wp:align>
          </wp:positionH>
          <wp:positionV relativeFrom="paragraph">
            <wp:posOffset>3387</wp:posOffset>
          </wp:positionV>
          <wp:extent cx="1157605" cy="158115"/>
          <wp:effectExtent l="0" t="0" r="4445" b="0"/>
          <wp:wrapNone/>
          <wp:docPr id="1340454700" name="Picture 1340454700">
            <a:extLst xmlns:a="http://schemas.openxmlformats.org/drawingml/2006/main">
              <a:ext uri="{FF2B5EF4-FFF2-40B4-BE49-F238E27FC236}">
                <a16:creationId xmlns:a16="http://schemas.microsoft.com/office/drawing/2014/main" id="{439CF450-60B5-0440-9E64-DF3B7ECC47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39CF450-60B5-0440-9E64-DF3B7ECC478F}"/>
                      </a:ext>
                    </a:extLst>
                  </pic:cNvPr>
                  <pic:cNvPicPr>
                    <a:picLocks noChangeAspect="1"/>
                  </pic:cNvPicPr>
                </pic:nvPicPr>
                <pic:blipFill>
                  <a:blip r:embed="rId1" cstate="print">
                    <a:lum bright="-40000" contrast="-40000"/>
                    <a:extLst>
                      <a:ext uri="{28A0092B-C50C-407E-A947-70E740481C1C}">
                        <a14:useLocalDpi xmlns:a14="http://schemas.microsoft.com/office/drawing/2010/main" val="0"/>
                      </a:ext>
                    </a:extLst>
                  </a:blip>
                  <a:stretch>
                    <a:fillRect/>
                  </a:stretch>
                </pic:blipFill>
                <pic:spPr>
                  <a:xfrm>
                    <a:off x="0" y="0"/>
                    <a:ext cx="1157605" cy="158115"/>
                  </a:xfrm>
                  <a:prstGeom prst="rect">
                    <a:avLst/>
                  </a:prstGeom>
                </pic:spPr>
              </pic:pic>
            </a:graphicData>
          </a:graphic>
          <wp14:sizeRelH relativeFrom="page">
            <wp14:pctWidth>0</wp14:pctWidth>
          </wp14:sizeRelH>
          <wp14:sizeRelV relativeFrom="page">
            <wp14:pctHeight>0</wp14:pctHeight>
          </wp14:sizeRelV>
        </wp:anchor>
      </w:drawing>
    </w:r>
  </w:p>
  <w:p w14:paraId="785F24BA" w14:textId="77777777" w:rsidR="004D7D12" w:rsidRDefault="004D7D12" w:rsidP="004D7D12">
    <w:pPr>
      <w:pBdr>
        <w:bottom w:val="single" w:sz="4" w:space="1" w:color="7F7F7F"/>
      </w:pBdr>
      <w:spacing w:before="0" w:after="0"/>
    </w:pPr>
  </w:p>
  <w:p w14:paraId="7510FBC9" w14:textId="77777777" w:rsidR="004D7D12" w:rsidRPr="00877442" w:rsidRDefault="004D7D12" w:rsidP="004D7D12">
    <w:pPr>
      <w:pStyle w:val="Header"/>
      <w:pBdr>
        <w:bottom w:val="none" w:sz="0" w:space="0" w:color="auto"/>
      </w:pBd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04056C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B27202"/>
    <w:multiLevelType w:val="hybridMultilevel"/>
    <w:tmpl w:val="1B26C8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6E0B4C"/>
    <w:multiLevelType w:val="hybridMultilevel"/>
    <w:tmpl w:val="D0F62728"/>
    <w:lvl w:ilvl="0" w:tplc="F3BABDEE">
      <w:start w:val="1"/>
      <w:numFmt w:val="bullet"/>
      <w:pStyle w:val="CS-IBMBullet1"/>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8D0FC4"/>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9AC462C"/>
    <w:multiLevelType w:val="multilevel"/>
    <w:tmpl w:val="3C6098FE"/>
    <w:lvl w:ilvl="0">
      <w:start w:val="3"/>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EFD3913"/>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0F94170"/>
    <w:multiLevelType w:val="hybridMultilevel"/>
    <w:tmpl w:val="2D84954A"/>
    <w:lvl w:ilvl="0" w:tplc="A0044C46">
      <w:start w:val="1"/>
      <w:numFmt w:val="bullet"/>
      <w:lvlText w:val="–"/>
      <w:lvlJc w:val="left"/>
      <w:pPr>
        <w:tabs>
          <w:tab w:val="num" w:pos="720"/>
        </w:tabs>
        <w:ind w:left="720" w:hanging="360"/>
      </w:pPr>
      <w:rPr>
        <w:rFonts w:ascii="系统字体常规体" w:hAnsi="系统字体常规体" w:hint="default"/>
      </w:rPr>
    </w:lvl>
    <w:lvl w:ilvl="1" w:tplc="92E4A352" w:tentative="1">
      <w:start w:val="1"/>
      <w:numFmt w:val="bullet"/>
      <w:lvlText w:val="–"/>
      <w:lvlJc w:val="left"/>
      <w:pPr>
        <w:tabs>
          <w:tab w:val="num" w:pos="1440"/>
        </w:tabs>
        <w:ind w:left="1440" w:hanging="360"/>
      </w:pPr>
      <w:rPr>
        <w:rFonts w:ascii="系统字体常规体" w:hAnsi="系统字体常规体" w:hint="default"/>
      </w:rPr>
    </w:lvl>
    <w:lvl w:ilvl="2" w:tplc="1200FFB2" w:tentative="1">
      <w:start w:val="1"/>
      <w:numFmt w:val="bullet"/>
      <w:lvlText w:val="–"/>
      <w:lvlJc w:val="left"/>
      <w:pPr>
        <w:tabs>
          <w:tab w:val="num" w:pos="2160"/>
        </w:tabs>
        <w:ind w:left="2160" w:hanging="360"/>
      </w:pPr>
      <w:rPr>
        <w:rFonts w:ascii="系统字体常规体" w:hAnsi="系统字体常规体" w:hint="default"/>
      </w:rPr>
    </w:lvl>
    <w:lvl w:ilvl="3" w:tplc="0C02F152" w:tentative="1">
      <w:start w:val="1"/>
      <w:numFmt w:val="bullet"/>
      <w:lvlText w:val="–"/>
      <w:lvlJc w:val="left"/>
      <w:pPr>
        <w:tabs>
          <w:tab w:val="num" w:pos="2880"/>
        </w:tabs>
        <w:ind w:left="2880" w:hanging="360"/>
      </w:pPr>
      <w:rPr>
        <w:rFonts w:ascii="系统字体常规体" w:hAnsi="系统字体常规体" w:hint="default"/>
      </w:rPr>
    </w:lvl>
    <w:lvl w:ilvl="4" w:tplc="702E1390" w:tentative="1">
      <w:start w:val="1"/>
      <w:numFmt w:val="bullet"/>
      <w:lvlText w:val="–"/>
      <w:lvlJc w:val="left"/>
      <w:pPr>
        <w:tabs>
          <w:tab w:val="num" w:pos="3600"/>
        </w:tabs>
        <w:ind w:left="3600" w:hanging="360"/>
      </w:pPr>
      <w:rPr>
        <w:rFonts w:ascii="系统字体常规体" w:hAnsi="系统字体常规体" w:hint="default"/>
      </w:rPr>
    </w:lvl>
    <w:lvl w:ilvl="5" w:tplc="F88EE5C8" w:tentative="1">
      <w:start w:val="1"/>
      <w:numFmt w:val="bullet"/>
      <w:lvlText w:val="–"/>
      <w:lvlJc w:val="left"/>
      <w:pPr>
        <w:tabs>
          <w:tab w:val="num" w:pos="4320"/>
        </w:tabs>
        <w:ind w:left="4320" w:hanging="360"/>
      </w:pPr>
      <w:rPr>
        <w:rFonts w:ascii="系统字体常规体" w:hAnsi="系统字体常规体" w:hint="default"/>
      </w:rPr>
    </w:lvl>
    <w:lvl w:ilvl="6" w:tplc="AE36DF54" w:tentative="1">
      <w:start w:val="1"/>
      <w:numFmt w:val="bullet"/>
      <w:lvlText w:val="–"/>
      <w:lvlJc w:val="left"/>
      <w:pPr>
        <w:tabs>
          <w:tab w:val="num" w:pos="5040"/>
        </w:tabs>
        <w:ind w:left="5040" w:hanging="360"/>
      </w:pPr>
      <w:rPr>
        <w:rFonts w:ascii="系统字体常规体" w:hAnsi="系统字体常规体" w:hint="default"/>
      </w:rPr>
    </w:lvl>
    <w:lvl w:ilvl="7" w:tplc="5E1A7260" w:tentative="1">
      <w:start w:val="1"/>
      <w:numFmt w:val="bullet"/>
      <w:lvlText w:val="–"/>
      <w:lvlJc w:val="left"/>
      <w:pPr>
        <w:tabs>
          <w:tab w:val="num" w:pos="5760"/>
        </w:tabs>
        <w:ind w:left="5760" w:hanging="360"/>
      </w:pPr>
      <w:rPr>
        <w:rFonts w:ascii="系统字体常规体" w:hAnsi="系统字体常规体" w:hint="default"/>
      </w:rPr>
    </w:lvl>
    <w:lvl w:ilvl="8" w:tplc="37AAF442" w:tentative="1">
      <w:start w:val="1"/>
      <w:numFmt w:val="bullet"/>
      <w:lvlText w:val="–"/>
      <w:lvlJc w:val="left"/>
      <w:pPr>
        <w:tabs>
          <w:tab w:val="num" w:pos="6480"/>
        </w:tabs>
        <w:ind w:left="6480" w:hanging="360"/>
      </w:pPr>
      <w:rPr>
        <w:rFonts w:ascii="系统字体常规体" w:hAnsi="系统字体常规体" w:hint="default"/>
      </w:rPr>
    </w:lvl>
  </w:abstractNum>
  <w:abstractNum w:abstractNumId="7" w15:restartNumberingAfterBreak="0">
    <w:nsid w:val="16085AE9"/>
    <w:multiLevelType w:val="hybridMultilevel"/>
    <w:tmpl w:val="DEB68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1D0A95"/>
    <w:multiLevelType w:val="hybridMultilevel"/>
    <w:tmpl w:val="46EAF04A"/>
    <w:lvl w:ilvl="0" w:tplc="D152ED78">
      <w:start w:val="1"/>
      <w:numFmt w:val="bullet"/>
      <w:lvlText w:val=""/>
      <w:lvlJc w:val="left"/>
      <w:pPr>
        <w:ind w:left="1440" w:hanging="360"/>
      </w:pPr>
      <w:rPr>
        <w:rFonts w:ascii="Symbol" w:hAnsi="Symbol"/>
      </w:rPr>
    </w:lvl>
    <w:lvl w:ilvl="1" w:tplc="9F2CF364">
      <w:start w:val="1"/>
      <w:numFmt w:val="bullet"/>
      <w:lvlText w:val=""/>
      <w:lvlJc w:val="left"/>
      <w:pPr>
        <w:ind w:left="1440" w:hanging="360"/>
      </w:pPr>
      <w:rPr>
        <w:rFonts w:ascii="Symbol" w:hAnsi="Symbol"/>
      </w:rPr>
    </w:lvl>
    <w:lvl w:ilvl="2" w:tplc="068EE462">
      <w:start w:val="1"/>
      <w:numFmt w:val="bullet"/>
      <w:lvlText w:val=""/>
      <w:lvlJc w:val="left"/>
      <w:pPr>
        <w:ind w:left="1440" w:hanging="360"/>
      </w:pPr>
      <w:rPr>
        <w:rFonts w:ascii="Symbol" w:hAnsi="Symbol"/>
      </w:rPr>
    </w:lvl>
    <w:lvl w:ilvl="3" w:tplc="0CD6B2C6">
      <w:start w:val="1"/>
      <w:numFmt w:val="bullet"/>
      <w:lvlText w:val=""/>
      <w:lvlJc w:val="left"/>
      <w:pPr>
        <w:ind w:left="1440" w:hanging="360"/>
      </w:pPr>
      <w:rPr>
        <w:rFonts w:ascii="Symbol" w:hAnsi="Symbol"/>
      </w:rPr>
    </w:lvl>
    <w:lvl w:ilvl="4" w:tplc="0C9AD392">
      <w:start w:val="1"/>
      <w:numFmt w:val="bullet"/>
      <w:lvlText w:val=""/>
      <w:lvlJc w:val="left"/>
      <w:pPr>
        <w:ind w:left="1440" w:hanging="360"/>
      </w:pPr>
      <w:rPr>
        <w:rFonts w:ascii="Symbol" w:hAnsi="Symbol"/>
      </w:rPr>
    </w:lvl>
    <w:lvl w:ilvl="5" w:tplc="45100934">
      <w:start w:val="1"/>
      <w:numFmt w:val="bullet"/>
      <w:lvlText w:val=""/>
      <w:lvlJc w:val="left"/>
      <w:pPr>
        <w:ind w:left="1440" w:hanging="360"/>
      </w:pPr>
      <w:rPr>
        <w:rFonts w:ascii="Symbol" w:hAnsi="Symbol"/>
      </w:rPr>
    </w:lvl>
    <w:lvl w:ilvl="6" w:tplc="5712C0B2">
      <w:start w:val="1"/>
      <w:numFmt w:val="bullet"/>
      <w:lvlText w:val=""/>
      <w:lvlJc w:val="left"/>
      <w:pPr>
        <w:ind w:left="1440" w:hanging="360"/>
      </w:pPr>
      <w:rPr>
        <w:rFonts w:ascii="Symbol" w:hAnsi="Symbol"/>
      </w:rPr>
    </w:lvl>
    <w:lvl w:ilvl="7" w:tplc="1CA2E006">
      <w:start w:val="1"/>
      <w:numFmt w:val="bullet"/>
      <w:lvlText w:val=""/>
      <w:lvlJc w:val="left"/>
      <w:pPr>
        <w:ind w:left="1440" w:hanging="360"/>
      </w:pPr>
      <w:rPr>
        <w:rFonts w:ascii="Symbol" w:hAnsi="Symbol"/>
      </w:rPr>
    </w:lvl>
    <w:lvl w:ilvl="8" w:tplc="FE8A94FC">
      <w:start w:val="1"/>
      <w:numFmt w:val="bullet"/>
      <w:lvlText w:val=""/>
      <w:lvlJc w:val="left"/>
      <w:pPr>
        <w:ind w:left="1440" w:hanging="360"/>
      </w:pPr>
      <w:rPr>
        <w:rFonts w:ascii="Symbol" w:hAnsi="Symbol"/>
      </w:rPr>
    </w:lvl>
  </w:abstractNum>
  <w:abstractNum w:abstractNumId="9" w15:restartNumberingAfterBreak="0">
    <w:nsid w:val="1C0A5A5B"/>
    <w:multiLevelType w:val="hybridMultilevel"/>
    <w:tmpl w:val="4EE4D486"/>
    <w:lvl w:ilvl="0" w:tplc="9B4C314E">
      <w:start w:val="1"/>
      <w:numFmt w:val="bullet"/>
      <w:lvlText w:val="–"/>
      <w:lvlJc w:val="left"/>
      <w:pPr>
        <w:tabs>
          <w:tab w:val="num" w:pos="720"/>
        </w:tabs>
        <w:ind w:left="720" w:hanging="360"/>
      </w:pPr>
      <w:rPr>
        <w:rFonts w:ascii="系统字体常规体" w:hAnsi="系统字体常规体" w:hint="default"/>
      </w:rPr>
    </w:lvl>
    <w:lvl w:ilvl="1" w:tplc="F33CCF9A" w:tentative="1">
      <w:start w:val="1"/>
      <w:numFmt w:val="bullet"/>
      <w:lvlText w:val="–"/>
      <w:lvlJc w:val="left"/>
      <w:pPr>
        <w:tabs>
          <w:tab w:val="num" w:pos="1440"/>
        </w:tabs>
        <w:ind w:left="1440" w:hanging="360"/>
      </w:pPr>
      <w:rPr>
        <w:rFonts w:ascii="系统字体常规体" w:hAnsi="系统字体常规体" w:hint="default"/>
      </w:rPr>
    </w:lvl>
    <w:lvl w:ilvl="2" w:tplc="DB606B1E" w:tentative="1">
      <w:start w:val="1"/>
      <w:numFmt w:val="bullet"/>
      <w:lvlText w:val="–"/>
      <w:lvlJc w:val="left"/>
      <w:pPr>
        <w:tabs>
          <w:tab w:val="num" w:pos="2160"/>
        </w:tabs>
        <w:ind w:left="2160" w:hanging="360"/>
      </w:pPr>
      <w:rPr>
        <w:rFonts w:ascii="系统字体常规体" w:hAnsi="系统字体常规体" w:hint="default"/>
      </w:rPr>
    </w:lvl>
    <w:lvl w:ilvl="3" w:tplc="DBBAEB54" w:tentative="1">
      <w:start w:val="1"/>
      <w:numFmt w:val="bullet"/>
      <w:lvlText w:val="–"/>
      <w:lvlJc w:val="left"/>
      <w:pPr>
        <w:tabs>
          <w:tab w:val="num" w:pos="2880"/>
        </w:tabs>
        <w:ind w:left="2880" w:hanging="360"/>
      </w:pPr>
      <w:rPr>
        <w:rFonts w:ascii="系统字体常规体" w:hAnsi="系统字体常规体" w:hint="default"/>
      </w:rPr>
    </w:lvl>
    <w:lvl w:ilvl="4" w:tplc="AAFC2C8A" w:tentative="1">
      <w:start w:val="1"/>
      <w:numFmt w:val="bullet"/>
      <w:lvlText w:val="–"/>
      <w:lvlJc w:val="left"/>
      <w:pPr>
        <w:tabs>
          <w:tab w:val="num" w:pos="3600"/>
        </w:tabs>
        <w:ind w:left="3600" w:hanging="360"/>
      </w:pPr>
      <w:rPr>
        <w:rFonts w:ascii="系统字体常规体" w:hAnsi="系统字体常规体" w:hint="default"/>
      </w:rPr>
    </w:lvl>
    <w:lvl w:ilvl="5" w:tplc="13C854BC" w:tentative="1">
      <w:start w:val="1"/>
      <w:numFmt w:val="bullet"/>
      <w:lvlText w:val="–"/>
      <w:lvlJc w:val="left"/>
      <w:pPr>
        <w:tabs>
          <w:tab w:val="num" w:pos="4320"/>
        </w:tabs>
        <w:ind w:left="4320" w:hanging="360"/>
      </w:pPr>
      <w:rPr>
        <w:rFonts w:ascii="系统字体常规体" w:hAnsi="系统字体常规体" w:hint="default"/>
      </w:rPr>
    </w:lvl>
    <w:lvl w:ilvl="6" w:tplc="1C683CE6" w:tentative="1">
      <w:start w:val="1"/>
      <w:numFmt w:val="bullet"/>
      <w:lvlText w:val="–"/>
      <w:lvlJc w:val="left"/>
      <w:pPr>
        <w:tabs>
          <w:tab w:val="num" w:pos="5040"/>
        </w:tabs>
        <w:ind w:left="5040" w:hanging="360"/>
      </w:pPr>
      <w:rPr>
        <w:rFonts w:ascii="系统字体常规体" w:hAnsi="系统字体常规体" w:hint="default"/>
      </w:rPr>
    </w:lvl>
    <w:lvl w:ilvl="7" w:tplc="A9F4A53C" w:tentative="1">
      <w:start w:val="1"/>
      <w:numFmt w:val="bullet"/>
      <w:lvlText w:val="–"/>
      <w:lvlJc w:val="left"/>
      <w:pPr>
        <w:tabs>
          <w:tab w:val="num" w:pos="5760"/>
        </w:tabs>
        <w:ind w:left="5760" w:hanging="360"/>
      </w:pPr>
      <w:rPr>
        <w:rFonts w:ascii="系统字体常规体" w:hAnsi="系统字体常规体" w:hint="default"/>
      </w:rPr>
    </w:lvl>
    <w:lvl w:ilvl="8" w:tplc="6A12D27A" w:tentative="1">
      <w:start w:val="1"/>
      <w:numFmt w:val="bullet"/>
      <w:lvlText w:val="–"/>
      <w:lvlJc w:val="left"/>
      <w:pPr>
        <w:tabs>
          <w:tab w:val="num" w:pos="6480"/>
        </w:tabs>
        <w:ind w:left="6480" w:hanging="360"/>
      </w:pPr>
      <w:rPr>
        <w:rFonts w:ascii="系统字体常规体" w:hAnsi="系统字体常规体" w:hint="default"/>
      </w:rPr>
    </w:lvl>
  </w:abstractNum>
  <w:abstractNum w:abstractNumId="10" w15:restartNumberingAfterBreak="0">
    <w:nsid w:val="21A8512B"/>
    <w:multiLevelType w:val="hybridMultilevel"/>
    <w:tmpl w:val="093A6DC8"/>
    <w:lvl w:ilvl="0" w:tplc="9F5C1F7A">
      <w:start w:val="1"/>
      <w:numFmt w:val="bullet"/>
      <w:pStyle w:val="CS-IBMBullet2"/>
      <w:lvlText w:val=""/>
      <w:lvlJc w:val="left"/>
      <w:pPr>
        <w:ind w:left="717" w:hanging="360"/>
      </w:pPr>
      <w:rPr>
        <w:rFonts w:ascii="Symbol" w:hAnsi="Symbol" w:hint="default"/>
        <w:color w:val="000000" w:themeColor="text1"/>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1" w15:restartNumberingAfterBreak="0">
    <w:nsid w:val="2C266C68"/>
    <w:multiLevelType w:val="hybridMultilevel"/>
    <w:tmpl w:val="5C1AEA30"/>
    <w:lvl w:ilvl="0" w:tplc="B568D8C6">
      <w:start w:val="1"/>
      <w:numFmt w:val="bullet"/>
      <w:lvlText w:val="–"/>
      <w:lvlJc w:val="left"/>
      <w:pPr>
        <w:tabs>
          <w:tab w:val="num" w:pos="720"/>
        </w:tabs>
        <w:ind w:left="720" w:hanging="360"/>
      </w:pPr>
      <w:rPr>
        <w:rFonts w:ascii="系统字体常规体" w:hAnsi="系统字体常规体" w:hint="default"/>
      </w:rPr>
    </w:lvl>
    <w:lvl w:ilvl="1" w:tplc="9E5C9F9C" w:tentative="1">
      <w:start w:val="1"/>
      <w:numFmt w:val="bullet"/>
      <w:lvlText w:val="–"/>
      <w:lvlJc w:val="left"/>
      <w:pPr>
        <w:tabs>
          <w:tab w:val="num" w:pos="1440"/>
        </w:tabs>
        <w:ind w:left="1440" w:hanging="360"/>
      </w:pPr>
      <w:rPr>
        <w:rFonts w:ascii="系统字体常规体" w:hAnsi="系统字体常规体" w:hint="default"/>
      </w:rPr>
    </w:lvl>
    <w:lvl w:ilvl="2" w:tplc="C3620680" w:tentative="1">
      <w:start w:val="1"/>
      <w:numFmt w:val="bullet"/>
      <w:lvlText w:val="–"/>
      <w:lvlJc w:val="left"/>
      <w:pPr>
        <w:tabs>
          <w:tab w:val="num" w:pos="2160"/>
        </w:tabs>
        <w:ind w:left="2160" w:hanging="360"/>
      </w:pPr>
      <w:rPr>
        <w:rFonts w:ascii="系统字体常规体" w:hAnsi="系统字体常规体" w:hint="default"/>
      </w:rPr>
    </w:lvl>
    <w:lvl w:ilvl="3" w:tplc="9834848E" w:tentative="1">
      <w:start w:val="1"/>
      <w:numFmt w:val="bullet"/>
      <w:lvlText w:val="–"/>
      <w:lvlJc w:val="left"/>
      <w:pPr>
        <w:tabs>
          <w:tab w:val="num" w:pos="2880"/>
        </w:tabs>
        <w:ind w:left="2880" w:hanging="360"/>
      </w:pPr>
      <w:rPr>
        <w:rFonts w:ascii="系统字体常规体" w:hAnsi="系统字体常规体" w:hint="default"/>
      </w:rPr>
    </w:lvl>
    <w:lvl w:ilvl="4" w:tplc="D186BBBC" w:tentative="1">
      <w:start w:val="1"/>
      <w:numFmt w:val="bullet"/>
      <w:lvlText w:val="–"/>
      <w:lvlJc w:val="left"/>
      <w:pPr>
        <w:tabs>
          <w:tab w:val="num" w:pos="3600"/>
        </w:tabs>
        <w:ind w:left="3600" w:hanging="360"/>
      </w:pPr>
      <w:rPr>
        <w:rFonts w:ascii="系统字体常规体" w:hAnsi="系统字体常规体" w:hint="default"/>
      </w:rPr>
    </w:lvl>
    <w:lvl w:ilvl="5" w:tplc="A68AA632" w:tentative="1">
      <w:start w:val="1"/>
      <w:numFmt w:val="bullet"/>
      <w:lvlText w:val="–"/>
      <w:lvlJc w:val="left"/>
      <w:pPr>
        <w:tabs>
          <w:tab w:val="num" w:pos="4320"/>
        </w:tabs>
        <w:ind w:left="4320" w:hanging="360"/>
      </w:pPr>
      <w:rPr>
        <w:rFonts w:ascii="系统字体常规体" w:hAnsi="系统字体常规体" w:hint="default"/>
      </w:rPr>
    </w:lvl>
    <w:lvl w:ilvl="6" w:tplc="573605C0" w:tentative="1">
      <w:start w:val="1"/>
      <w:numFmt w:val="bullet"/>
      <w:lvlText w:val="–"/>
      <w:lvlJc w:val="left"/>
      <w:pPr>
        <w:tabs>
          <w:tab w:val="num" w:pos="5040"/>
        </w:tabs>
        <w:ind w:left="5040" w:hanging="360"/>
      </w:pPr>
      <w:rPr>
        <w:rFonts w:ascii="系统字体常规体" w:hAnsi="系统字体常规体" w:hint="default"/>
      </w:rPr>
    </w:lvl>
    <w:lvl w:ilvl="7" w:tplc="16B455FE" w:tentative="1">
      <w:start w:val="1"/>
      <w:numFmt w:val="bullet"/>
      <w:lvlText w:val="–"/>
      <w:lvlJc w:val="left"/>
      <w:pPr>
        <w:tabs>
          <w:tab w:val="num" w:pos="5760"/>
        </w:tabs>
        <w:ind w:left="5760" w:hanging="360"/>
      </w:pPr>
      <w:rPr>
        <w:rFonts w:ascii="系统字体常规体" w:hAnsi="系统字体常规体" w:hint="default"/>
      </w:rPr>
    </w:lvl>
    <w:lvl w:ilvl="8" w:tplc="439C1E52" w:tentative="1">
      <w:start w:val="1"/>
      <w:numFmt w:val="bullet"/>
      <w:lvlText w:val="–"/>
      <w:lvlJc w:val="left"/>
      <w:pPr>
        <w:tabs>
          <w:tab w:val="num" w:pos="6480"/>
        </w:tabs>
        <w:ind w:left="6480" w:hanging="360"/>
      </w:pPr>
      <w:rPr>
        <w:rFonts w:ascii="系统字体常规体" w:hAnsi="系统字体常规体" w:hint="default"/>
      </w:rPr>
    </w:lvl>
  </w:abstractNum>
  <w:abstractNum w:abstractNumId="12" w15:restartNumberingAfterBreak="0">
    <w:nsid w:val="2C9622B8"/>
    <w:multiLevelType w:val="hybridMultilevel"/>
    <w:tmpl w:val="49DC03A6"/>
    <w:lvl w:ilvl="0" w:tplc="3D36B8BC">
      <w:start w:val="1"/>
      <w:numFmt w:val="bullet"/>
      <w:pStyle w:val="CS-IBMCoverLetter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2B0955"/>
    <w:multiLevelType w:val="hybridMultilevel"/>
    <w:tmpl w:val="839A34E0"/>
    <w:lvl w:ilvl="0" w:tplc="CCA20736">
      <w:start w:val="1"/>
      <w:numFmt w:val="bullet"/>
      <w:lvlText w:val="–"/>
      <w:lvlJc w:val="left"/>
      <w:pPr>
        <w:tabs>
          <w:tab w:val="num" w:pos="720"/>
        </w:tabs>
        <w:ind w:left="720" w:hanging="360"/>
      </w:pPr>
      <w:rPr>
        <w:rFonts w:ascii="系统字体常规体" w:hAnsi="系统字体常规体" w:hint="default"/>
      </w:rPr>
    </w:lvl>
    <w:lvl w:ilvl="1" w:tplc="E2F2136E" w:tentative="1">
      <w:start w:val="1"/>
      <w:numFmt w:val="bullet"/>
      <w:lvlText w:val="–"/>
      <w:lvlJc w:val="left"/>
      <w:pPr>
        <w:tabs>
          <w:tab w:val="num" w:pos="1440"/>
        </w:tabs>
        <w:ind w:left="1440" w:hanging="360"/>
      </w:pPr>
      <w:rPr>
        <w:rFonts w:ascii="系统字体常规体" w:hAnsi="系统字体常规体" w:hint="default"/>
      </w:rPr>
    </w:lvl>
    <w:lvl w:ilvl="2" w:tplc="AF98D16C" w:tentative="1">
      <w:start w:val="1"/>
      <w:numFmt w:val="bullet"/>
      <w:lvlText w:val="–"/>
      <w:lvlJc w:val="left"/>
      <w:pPr>
        <w:tabs>
          <w:tab w:val="num" w:pos="2160"/>
        </w:tabs>
        <w:ind w:left="2160" w:hanging="360"/>
      </w:pPr>
      <w:rPr>
        <w:rFonts w:ascii="系统字体常规体" w:hAnsi="系统字体常规体" w:hint="default"/>
      </w:rPr>
    </w:lvl>
    <w:lvl w:ilvl="3" w:tplc="95AC90F8" w:tentative="1">
      <w:start w:val="1"/>
      <w:numFmt w:val="bullet"/>
      <w:lvlText w:val="–"/>
      <w:lvlJc w:val="left"/>
      <w:pPr>
        <w:tabs>
          <w:tab w:val="num" w:pos="2880"/>
        </w:tabs>
        <w:ind w:left="2880" w:hanging="360"/>
      </w:pPr>
      <w:rPr>
        <w:rFonts w:ascii="系统字体常规体" w:hAnsi="系统字体常规体" w:hint="default"/>
      </w:rPr>
    </w:lvl>
    <w:lvl w:ilvl="4" w:tplc="F64692E8" w:tentative="1">
      <w:start w:val="1"/>
      <w:numFmt w:val="bullet"/>
      <w:lvlText w:val="–"/>
      <w:lvlJc w:val="left"/>
      <w:pPr>
        <w:tabs>
          <w:tab w:val="num" w:pos="3600"/>
        </w:tabs>
        <w:ind w:left="3600" w:hanging="360"/>
      </w:pPr>
      <w:rPr>
        <w:rFonts w:ascii="系统字体常规体" w:hAnsi="系统字体常规体" w:hint="default"/>
      </w:rPr>
    </w:lvl>
    <w:lvl w:ilvl="5" w:tplc="795417F0" w:tentative="1">
      <w:start w:val="1"/>
      <w:numFmt w:val="bullet"/>
      <w:lvlText w:val="–"/>
      <w:lvlJc w:val="left"/>
      <w:pPr>
        <w:tabs>
          <w:tab w:val="num" w:pos="4320"/>
        </w:tabs>
        <w:ind w:left="4320" w:hanging="360"/>
      </w:pPr>
      <w:rPr>
        <w:rFonts w:ascii="系统字体常规体" w:hAnsi="系统字体常规体" w:hint="default"/>
      </w:rPr>
    </w:lvl>
    <w:lvl w:ilvl="6" w:tplc="C19AAE1A" w:tentative="1">
      <w:start w:val="1"/>
      <w:numFmt w:val="bullet"/>
      <w:lvlText w:val="–"/>
      <w:lvlJc w:val="left"/>
      <w:pPr>
        <w:tabs>
          <w:tab w:val="num" w:pos="5040"/>
        </w:tabs>
        <w:ind w:left="5040" w:hanging="360"/>
      </w:pPr>
      <w:rPr>
        <w:rFonts w:ascii="系统字体常规体" w:hAnsi="系统字体常规体" w:hint="default"/>
      </w:rPr>
    </w:lvl>
    <w:lvl w:ilvl="7" w:tplc="BA1670D2" w:tentative="1">
      <w:start w:val="1"/>
      <w:numFmt w:val="bullet"/>
      <w:lvlText w:val="–"/>
      <w:lvlJc w:val="left"/>
      <w:pPr>
        <w:tabs>
          <w:tab w:val="num" w:pos="5760"/>
        </w:tabs>
        <w:ind w:left="5760" w:hanging="360"/>
      </w:pPr>
      <w:rPr>
        <w:rFonts w:ascii="系统字体常规体" w:hAnsi="系统字体常规体" w:hint="default"/>
      </w:rPr>
    </w:lvl>
    <w:lvl w:ilvl="8" w:tplc="A9D82F6E" w:tentative="1">
      <w:start w:val="1"/>
      <w:numFmt w:val="bullet"/>
      <w:lvlText w:val="–"/>
      <w:lvlJc w:val="left"/>
      <w:pPr>
        <w:tabs>
          <w:tab w:val="num" w:pos="6480"/>
        </w:tabs>
        <w:ind w:left="6480" w:hanging="360"/>
      </w:pPr>
      <w:rPr>
        <w:rFonts w:ascii="系统字体常规体" w:hAnsi="系统字体常规体" w:hint="default"/>
      </w:rPr>
    </w:lvl>
  </w:abstractNum>
  <w:abstractNum w:abstractNumId="14" w15:restartNumberingAfterBreak="0">
    <w:nsid w:val="2D303B2D"/>
    <w:multiLevelType w:val="hybridMultilevel"/>
    <w:tmpl w:val="EFAE7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490CED"/>
    <w:multiLevelType w:val="multilevel"/>
    <w:tmpl w:val="0D749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92438C"/>
    <w:multiLevelType w:val="hybridMultilevel"/>
    <w:tmpl w:val="CF601D26"/>
    <w:lvl w:ilvl="0" w:tplc="25C67A2E">
      <w:start w:val="1"/>
      <w:numFmt w:val="bullet"/>
      <w:pStyle w:val="CS-RFPBullet4"/>
      <w:lvlText w:val=""/>
      <w:lvlJc w:val="left"/>
      <w:pPr>
        <w:ind w:left="1437"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2F092127"/>
    <w:multiLevelType w:val="hybridMultilevel"/>
    <w:tmpl w:val="6AEEB4F8"/>
    <w:lvl w:ilvl="0" w:tplc="1BBC45FC">
      <w:start w:val="1"/>
      <w:numFmt w:val="bullet"/>
      <w:pStyle w:val="CS-RFPBullet5"/>
      <w:lvlText w:val=""/>
      <w:lvlJc w:val="left"/>
      <w:pPr>
        <w:ind w:left="1800" w:hanging="360"/>
      </w:pPr>
      <w:rPr>
        <w:rFonts w:ascii="Wingdings" w:hAnsi="Wingdings" w:hint="default"/>
        <w:b w:val="0"/>
        <w:i w:val="0"/>
        <w:sz w:val="2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2F6B61A0"/>
    <w:multiLevelType w:val="multilevel"/>
    <w:tmpl w:val="23500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EC5DCB"/>
    <w:multiLevelType w:val="hybridMultilevel"/>
    <w:tmpl w:val="F2AA1800"/>
    <w:lvl w:ilvl="0" w:tplc="0E3EB8B4">
      <w:start w:val="1"/>
      <w:numFmt w:val="bullet"/>
      <w:pStyle w:val="CS-IBMBullet5"/>
      <w:lvlText w:val=""/>
      <w:lvlJc w:val="left"/>
      <w:pPr>
        <w:ind w:left="1794" w:hanging="360"/>
      </w:pPr>
      <w:rPr>
        <w:rFonts w:ascii="Wingdings" w:hAnsi="Wingdings" w:hint="default"/>
      </w:rPr>
    </w:lvl>
    <w:lvl w:ilvl="1" w:tplc="34090003" w:tentative="1">
      <w:start w:val="1"/>
      <w:numFmt w:val="bullet"/>
      <w:lvlText w:val="o"/>
      <w:lvlJc w:val="left"/>
      <w:pPr>
        <w:ind w:left="2514" w:hanging="360"/>
      </w:pPr>
      <w:rPr>
        <w:rFonts w:ascii="Courier New" w:hAnsi="Courier New" w:cs="Courier New" w:hint="default"/>
      </w:rPr>
    </w:lvl>
    <w:lvl w:ilvl="2" w:tplc="34090005" w:tentative="1">
      <w:start w:val="1"/>
      <w:numFmt w:val="bullet"/>
      <w:lvlText w:val=""/>
      <w:lvlJc w:val="left"/>
      <w:pPr>
        <w:ind w:left="3234" w:hanging="360"/>
      </w:pPr>
      <w:rPr>
        <w:rFonts w:ascii="Wingdings" w:hAnsi="Wingdings" w:hint="default"/>
      </w:rPr>
    </w:lvl>
    <w:lvl w:ilvl="3" w:tplc="34090001" w:tentative="1">
      <w:start w:val="1"/>
      <w:numFmt w:val="bullet"/>
      <w:lvlText w:val=""/>
      <w:lvlJc w:val="left"/>
      <w:pPr>
        <w:ind w:left="3954" w:hanging="360"/>
      </w:pPr>
      <w:rPr>
        <w:rFonts w:ascii="Symbol" w:hAnsi="Symbol" w:hint="default"/>
      </w:rPr>
    </w:lvl>
    <w:lvl w:ilvl="4" w:tplc="34090003" w:tentative="1">
      <w:start w:val="1"/>
      <w:numFmt w:val="bullet"/>
      <w:lvlText w:val="o"/>
      <w:lvlJc w:val="left"/>
      <w:pPr>
        <w:ind w:left="4674" w:hanging="360"/>
      </w:pPr>
      <w:rPr>
        <w:rFonts w:ascii="Courier New" w:hAnsi="Courier New" w:cs="Courier New" w:hint="default"/>
      </w:rPr>
    </w:lvl>
    <w:lvl w:ilvl="5" w:tplc="34090005" w:tentative="1">
      <w:start w:val="1"/>
      <w:numFmt w:val="bullet"/>
      <w:lvlText w:val=""/>
      <w:lvlJc w:val="left"/>
      <w:pPr>
        <w:ind w:left="5394" w:hanging="360"/>
      </w:pPr>
      <w:rPr>
        <w:rFonts w:ascii="Wingdings" w:hAnsi="Wingdings" w:hint="default"/>
      </w:rPr>
    </w:lvl>
    <w:lvl w:ilvl="6" w:tplc="34090001" w:tentative="1">
      <w:start w:val="1"/>
      <w:numFmt w:val="bullet"/>
      <w:lvlText w:val=""/>
      <w:lvlJc w:val="left"/>
      <w:pPr>
        <w:ind w:left="6114" w:hanging="360"/>
      </w:pPr>
      <w:rPr>
        <w:rFonts w:ascii="Symbol" w:hAnsi="Symbol" w:hint="default"/>
      </w:rPr>
    </w:lvl>
    <w:lvl w:ilvl="7" w:tplc="34090003" w:tentative="1">
      <w:start w:val="1"/>
      <w:numFmt w:val="bullet"/>
      <w:lvlText w:val="o"/>
      <w:lvlJc w:val="left"/>
      <w:pPr>
        <w:ind w:left="6834" w:hanging="360"/>
      </w:pPr>
      <w:rPr>
        <w:rFonts w:ascii="Courier New" w:hAnsi="Courier New" w:cs="Courier New" w:hint="default"/>
      </w:rPr>
    </w:lvl>
    <w:lvl w:ilvl="8" w:tplc="34090005" w:tentative="1">
      <w:start w:val="1"/>
      <w:numFmt w:val="bullet"/>
      <w:lvlText w:val=""/>
      <w:lvlJc w:val="left"/>
      <w:pPr>
        <w:ind w:left="7554" w:hanging="360"/>
      </w:pPr>
      <w:rPr>
        <w:rFonts w:ascii="Wingdings" w:hAnsi="Wingdings" w:hint="default"/>
      </w:rPr>
    </w:lvl>
  </w:abstractNum>
  <w:abstractNum w:abstractNumId="20" w15:restartNumberingAfterBreak="0">
    <w:nsid w:val="394B2491"/>
    <w:multiLevelType w:val="hybridMultilevel"/>
    <w:tmpl w:val="4C96A748"/>
    <w:lvl w:ilvl="0" w:tplc="8FFAE510">
      <w:start w:val="1"/>
      <w:numFmt w:val="bullet"/>
      <w:pStyle w:val="CS-IBMTable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DBB6E59"/>
    <w:multiLevelType w:val="multilevel"/>
    <w:tmpl w:val="45E0F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E8771ED"/>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434C707F"/>
    <w:multiLevelType w:val="hybridMultilevel"/>
    <w:tmpl w:val="5808B432"/>
    <w:lvl w:ilvl="0" w:tplc="5DA281BA">
      <w:start w:val="1"/>
      <w:numFmt w:val="bullet"/>
      <w:pStyle w:val="CS-RFPBullet2"/>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362D37"/>
    <w:multiLevelType w:val="hybridMultilevel"/>
    <w:tmpl w:val="8BCE09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9C379C0"/>
    <w:multiLevelType w:val="hybridMultilevel"/>
    <w:tmpl w:val="4BAEA6EA"/>
    <w:lvl w:ilvl="0" w:tplc="6B6EC23E">
      <w:start w:val="1"/>
      <w:numFmt w:val="bullet"/>
      <w:pStyle w:val="CS-RFPBullet3"/>
      <w:lvlText w:val="o"/>
      <w:lvlJc w:val="left"/>
      <w:pPr>
        <w:ind w:left="1080" w:hanging="360"/>
      </w:pPr>
      <w:rPr>
        <w:rFonts w:ascii="Courier New" w:hAnsi="Courier New" w:cs="Courier New" w:hint="default"/>
        <w:b w:val="0"/>
        <w:i w:val="0"/>
        <w:caps w:val="0"/>
        <w:strike w:val="0"/>
        <w:dstrike w:val="0"/>
        <w:vanish w:val="0"/>
        <w:color w:val="0070C0"/>
        <w:kern w:val="0"/>
        <w:sz w:val="21"/>
        <w:u w:color="008ABF"/>
        <w:vertAlign w:val="base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4A9F7EDD"/>
    <w:multiLevelType w:val="hybridMultilevel"/>
    <w:tmpl w:val="F46C841A"/>
    <w:lvl w:ilvl="0" w:tplc="1CF8B674">
      <w:start w:val="1"/>
      <w:numFmt w:val="bullet"/>
      <w:pStyle w:val="CS-IBMCalloutBullet"/>
      <w:lvlText w:val=""/>
      <w:lvlJc w:val="left"/>
      <w:pPr>
        <w:ind w:left="360" w:hanging="360"/>
      </w:pPr>
      <w:rPr>
        <w:rFonts w:ascii="Symbol" w:hAnsi="Symbol" w:hint="default"/>
      </w:rPr>
    </w:lvl>
    <w:lvl w:ilvl="1" w:tplc="9F865E86" w:tentative="1">
      <w:start w:val="1"/>
      <w:numFmt w:val="bullet"/>
      <w:lvlText w:val=""/>
      <w:lvlJc w:val="left"/>
      <w:pPr>
        <w:tabs>
          <w:tab w:val="num" w:pos="1440"/>
        </w:tabs>
        <w:ind w:left="1440" w:hanging="360"/>
      </w:pPr>
      <w:rPr>
        <w:rFonts w:ascii="Wingdings" w:hAnsi="Wingdings" w:hint="default"/>
      </w:rPr>
    </w:lvl>
    <w:lvl w:ilvl="2" w:tplc="A164212E" w:tentative="1">
      <w:start w:val="1"/>
      <w:numFmt w:val="bullet"/>
      <w:lvlText w:val=""/>
      <w:lvlJc w:val="left"/>
      <w:pPr>
        <w:tabs>
          <w:tab w:val="num" w:pos="2160"/>
        </w:tabs>
        <w:ind w:left="2160" w:hanging="360"/>
      </w:pPr>
      <w:rPr>
        <w:rFonts w:ascii="Wingdings" w:hAnsi="Wingdings" w:hint="default"/>
      </w:rPr>
    </w:lvl>
    <w:lvl w:ilvl="3" w:tplc="242C192A" w:tentative="1">
      <w:start w:val="1"/>
      <w:numFmt w:val="bullet"/>
      <w:lvlText w:val=""/>
      <w:lvlJc w:val="left"/>
      <w:pPr>
        <w:tabs>
          <w:tab w:val="num" w:pos="2880"/>
        </w:tabs>
        <w:ind w:left="2880" w:hanging="360"/>
      </w:pPr>
      <w:rPr>
        <w:rFonts w:ascii="Wingdings" w:hAnsi="Wingdings" w:hint="default"/>
      </w:rPr>
    </w:lvl>
    <w:lvl w:ilvl="4" w:tplc="D780F316" w:tentative="1">
      <w:start w:val="1"/>
      <w:numFmt w:val="bullet"/>
      <w:lvlText w:val=""/>
      <w:lvlJc w:val="left"/>
      <w:pPr>
        <w:tabs>
          <w:tab w:val="num" w:pos="3600"/>
        </w:tabs>
        <w:ind w:left="3600" w:hanging="360"/>
      </w:pPr>
      <w:rPr>
        <w:rFonts w:ascii="Wingdings" w:hAnsi="Wingdings" w:hint="default"/>
      </w:rPr>
    </w:lvl>
    <w:lvl w:ilvl="5" w:tplc="35B84D92" w:tentative="1">
      <w:start w:val="1"/>
      <w:numFmt w:val="bullet"/>
      <w:lvlText w:val=""/>
      <w:lvlJc w:val="left"/>
      <w:pPr>
        <w:tabs>
          <w:tab w:val="num" w:pos="4320"/>
        </w:tabs>
        <w:ind w:left="4320" w:hanging="360"/>
      </w:pPr>
      <w:rPr>
        <w:rFonts w:ascii="Wingdings" w:hAnsi="Wingdings" w:hint="default"/>
      </w:rPr>
    </w:lvl>
    <w:lvl w:ilvl="6" w:tplc="2B3875EA" w:tentative="1">
      <w:start w:val="1"/>
      <w:numFmt w:val="bullet"/>
      <w:lvlText w:val=""/>
      <w:lvlJc w:val="left"/>
      <w:pPr>
        <w:tabs>
          <w:tab w:val="num" w:pos="5040"/>
        </w:tabs>
        <w:ind w:left="5040" w:hanging="360"/>
      </w:pPr>
      <w:rPr>
        <w:rFonts w:ascii="Wingdings" w:hAnsi="Wingdings" w:hint="default"/>
      </w:rPr>
    </w:lvl>
    <w:lvl w:ilvl="7" w:tplc="F46EAF34" w:tentative="1">
      <w:start w:val="1"/>
      <w:numFmt w:val="bullet"/>
      <w:lvlText w:val=""/>
      <w:lvlJc w:val="left"/>
      <w:pPr>
        <w:tabs>
          <w:tab w:val="num" w:pos="5760"/>
        </w:tabs>
        <w:ind w:left="5760" w:hanging="360"/>
      </w:pPr>
      <w:rPr>
        <w:rFonts w:ascii="Wingdings" w:hAnsi="Wingdings" w:hint="default"/>
      </w:rPr>
    </w:lvl>
    <w:lvl w:ilvl="8" w:tplc="0040D2D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C5A02"/>
    <w:multiLevelType w:val="hybridMultilevel"/>
    <w:tmpl w:val="EAF41A8C"/>
    <w:lvl w:ilvl="0" w:tplc="FE2462C0">
      <w:start w:val="1"/>
      <w:numFmt w:val="bullet"/>
      <w:pStyle w:val="CS-RFPBullet1"/>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53D23"/>
    <w:multiLevelType w:val="hybridMultilevel"/>
    <w:tmpl w:val="50DECCD8"/>
    <w:lvl w:ilvl="0" w:tplc="0ADC0AAC">
      <w:start w:val="1"/>
      <w:numFmt w:val="bullet"/>
      <w:pStyle w:val="CS-IBMTableBullet3"/>
      <w:lvlText w:val="o"/>
      <w:lvlJc w:val="left"/>
      <w:pPr>
        <w:ind w:left="1434" w:hanging="360"/>
      </w:pPr>
      <w:rPr>
        <w:rFonts w:ascii="Courier New" w:hAnsi="Courier New" w:cs="Courier New" w:hint="default"/>
      </w:rPr>
    </w:lvl>
    <w:lvl w:ilvl="1" w:tplc="04090003" w:tentative="1">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29" w15:restartNumberingAfterBreak="0">
    <w:nsid w:val="55DA5FE4"/>
    <w:multiLevelType w:val="multilevel"/>
    <w:tmpl w:val="03CAC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B5A6239"/>
    <w:multiLevelType w:val="hybridMultilevel"/>
    <w:tmpl w:val="A7D4E274"/>
    <w:lvl w:ilvl="0" w:tplc="66ECEA22">
      <w:start w:val="1"/>
      <w:numFmt w:val="bullet"/>
      <w:pStyle w:val="CS-IBMBullet3"/>
      <w:lvlText w:val="o"/>
      <w:lvlJc w:val="left"/>
      <w:pPr>
        <w:ind w:left="1074" w:hanging="360"/>
      </w:pPr>
      <w:rPr>
        <w:rFonts w:ascii="Courier New" w:hAnsi="Courier New" w:cs="Courier New" w:hint="default"/>
        <w:color w:val="000000" w:themeColor="text1"/>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C806AF1"/>
    <w:multiLevelType w:val="multilevel"/>
    <w:tmpl w:val="F0082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B6F4791"/>
    <w:multiLevelType w:val="hybridMultilevel"/>
    <w:tmpl w:val="82626864"/>
    <w:lvl w:ilvl="0" w:tplc="F6863522">
      <w:start w:val="1"/>
      <w:numFmt w:val="bullet"/>
      <w:pStyle w:val="CS-IBMBullet4"/>
      <w:lvlText w:val=""/>
      <w:lvlJc w:val="left"/>
      <w:pPr>
        <w:ind w:left="1434" w:hanging="360"/>
      </w:pPr>
      <w:rPr>
        <w:rFonts w:ascii="Wingdings" w:hAnsi="Wingdings" w:hint="default"/>
      </w:rPr>
    </w:lvl>
    <w:lvl w:ilvl="1" w:tplc="34090003" w:tentative="1">
      <w:start w:val="1"/>
      <w:numFmt w:val="bullet"/>
      <w:lvlText w:val="o"/>
      <w:lvlJc w:val="left"/>
      <w:pPr>
        <w:ind w:left="2154" w:hanging="360"/>
      </w:pPr>
      <w:rPr>
        <w:rFonts w:ascii="Courier New" w:hAnsi="Courier New" w:cs="Courier New" w:hint="default"/>
      </w:rPr>
    </w:lvl>
    <w:lvl w:ilvl="2" w:tplc="34090005" w:tentative="1">
      <w:start w:val="1"/>
      <w:numFmt w:val="bullet"/>
      <w:lvlText w:val=""/>
      <w:lvlJc w:val="left"/>
      <w:pPr>
        <w:ind w:left="2874" w:hanging="360"/>
      </w:pPr>
      <w:rPr>
        <w:rFonts w:ascii="Wingdings" w:hAnsi="Wingdings" w:hint="default"/>
      </w:rPr>
    </w:lvl>
    <w:lvl w:ilvl="3" w:tplc="34090001" w:tentative="1">
      <w:start w:val="1"/>
      <w:numFmt w:val="bullet"/>
      <w:lvlText w:val=""/>
      <w:lvlJc w:val="left"/>
      <w:pPr>
        <w:ind w:left="3594" w:hanging="360"/>
      </w:pPr>
      <w:rPr>
        <w:rFonts w:ascii="Symbol" w:hAnsi="Symbol" w:hint="default"/>
      </w:rPr>
    </w:lvl>
    <w:lvl w:ilvl="4" w:tplc="34090003" w:tentative="1">
      <w:start w:val="1"/>
      <w:numFmt w:val="bullet"/>
      <w:lvlText w:val="o"/>
      <w:lvlJc w:val="left"/>
      <w:pPr>
        <w:ind w:left="4314" w:hanging="360"/>
      </w:pPr>
      <w:rPr>
        <w:rFonts w:ascii="Courier New" w:hAnsi="Courier New" w:cs="Courier New" w:hint="default"/>
      </w:rPr>
    </w:lvl>
    <w:lvl w:ilvl="5" w:tplc="34090005" w:tentative="1">
      <w:start w:val="1"/>
      <w:numFmt w:val="bullet"/>
      <w:lvlText w:val=""/>
      <w:lvlJc w:val="left"/>
      <w:pPr>
        <w:ind w:left="5034" w:hanging="360"/>
      </w:pPr>
      <w:rPr>
        <w:rFonts w:ascii="Wingdings" w:hAnsi="Wingdings" w:hint="default"/>
      </w:rPr>
    </w:lvl>
    <w:lvl w:ilvl="6" w:tplc="34090001" w:tentative="1">
      <w:start w:val="1"/>
      <w:numFmt w:val="bullet"/>
      <w:lvlText w:val=""/>
      <w:lvlJc w:val="left"/>
      <w:pPr>
        <w:ind w:left="5754" w:hanging="360"/>
      </w:pPr>
      <w:rPr>
        <w:rFonts w:ascii="Symbol" w:hAnsi="Symbol" w:hint="default"/>
      </w:rPr>
    </w:lvl>
    <w:lvl w:ilvl="7" w:tplc="34090003" w:tentative="1">
      <w:start w:val="1"/>
      <w:numFmt w:val="bullet"/>
      <w:lvlText w:val="o"/>
      <w:lvlJc w:val="left"/>
      <w:pPr>
        <w:ind w:left="6474" w:hanging="360"/>
      </w:pPr>
      <w:rPr>
        <w:rFonts w:ascii="Courier New" w:hAnsi="Courier New" w:cs="Courier New" w:hint="default"/>
      </w:rPr>
    </w:lvl>
    <w:lvl w:ilvl="8" w:tplc="34090005" w:tentative="1">
      <w:start w:val="1"/>
      <w:numFmt w:val="bullet"/>
      <w:lvlText w:val=""/>
      <w:lvlJc w:val="left"/>
      <w:pPr>
        <w:ind w:left="7194" w:hanging="360"/>
      </w:pPr>
      <w:rPr>
        <w:rFonts w:ascii="Wingdings" w:hAnsi="Wingdings" w:hint="default"/>
      </w:rPr>
    </w:lvl>
  </w:abstractNum>
  <w:abstractNum w:abstractNumId="33" w15:restartNumberingAfterBreak="0">
    <w:nsid w:val="777D5691"/>
    <w:multiLevelType w:val="hybridMultilevel"/>
    <w:tmpl w:val="7C10E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7D2D73"/>
    <w:multiLevelType w:val="hybridMultilevel"/>
    <w:tmpl w:val="AE0C8900"/>
    <w:lvl w:ilvl="0" w:tplc="DBD65DB8">
      <w:start w:val="1"/>
      <w:numFmt w:val="bullet"/>
      <w:pStyle w:val="CS-IBMTableBullet2"/>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35" w15:restartNumberingAfterBreak="0">
    <w:nsid w:val="7AA44778"/>
    <w:multiLevelType w:val="hybridMultilevel"/>
    <w:tmpl w:val="4684B140"/>
    <w:lvl w:ilvl="0" w:tplc="4A88C2F2">
      <w:start w:val="1"/>
      <w:numFmt w:val="lowerRoman"/>
      <w:pStyle w:val="List3"/>
      <w:lvlText w:val="%1."/>
      <w:lvlJc w:val="left"/>
      <w:pPr>
        <w:tabs>
          <w:tab w:val="num" w:pos="926"/>
        </w:tabs>
        <w:ind w:left="926"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6" w15:restartNumberingAfterBreak="0">
    <w:nsid w:val="7BF411AE"/>
    <w:multiLevelType w:val="multilevel"/>
    <w:tmpl w:val="DDC8D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82611964">
    <w:abstractNumId w:val="3"/>
  </w:num>
  <w:num w:numId="2" w16cid:durableId="1825856418">
    <w:abstractNumId w:val="5"/>
  </w:num>
  <w:num w:numId="3" w16cid:durableId="1391923421">
    <w:abstractNumId w:val="22"/>
  </w:num>
  <w:num w:numId="4" w16cid:durableId="841358567">
    <w:abstractNumId w:val="35"/>
  </w:num>
  <w:num w:numId="5" w16cid:durableId="1101729146">
    <w:abstractNumId w:val="17"/>
  </w:num>
  <w:num w:numId="6" w16cid:durableId="1801874410">
    <w:abstractNumId w:val="27"/>
  </w:num>
  <w:num w:numId="7" w16cid:durableId="860705883">
    <w:abstractNumId w:val="0"/>
  </w:num>
  <w:num w:numId="8" w16cid:durableId="1500578867">
    <w:abstractNumId w:val="25"/>
  </w:num>
  <w:num w:numId="9" w16cid:durableId="1482113343">
    <w:abstractNumId w:val="23"/>
  </w:num>
  <w:num w:numId="10" w16cid:durableId="1120757209">
    <w:abstractNumId w:val="16"/>
  </w:num>
  <w:num w:numId="11" w16cid:durableId="1809664078">
    <w:abstractNumId w:val="2"/>
  </w:num>
  <w:num w:numId="12" w16cid:durableId="148135245">
    <w:abstractNumId w:val="10"/>
  </w:num>
  <w:num w:numId="13" w16cid:durableId="1395661601">
    <w:abstractNumId w:val="30"/>
  </w:num>
  <w:num w:numId="14" w16cid:durableId="1440757471">
    <w:abstractNumId w:val="26"/>
  </w:num>
  <w:num w:numId="15" w16cid:durableId="1479608132">
    <w:abstractNumId w:val="12"/>
  </w:num>
  <w:num w:numId="16" w16cid:durableId="1102870950">
    <w:abstractNumId w:val="20"/>
  </w:num>
  <w:num w:numId="17" w16cid:durableId="1604608350">
    <w:abstractNumId w:val="34"/>
  </w:num>
  <w:num w:numId="18" w16cid:durableId="703403042">
    <w:abstractNumId w:val="28"/>
  </w:num>
  <w:num w:numId="19" w16cid:durableId="1056507566">
    <w:abstractNumId w:val="32"/>
  </w:num>
  <w:num w:numId="20" w16cid:durableId="615330643">
    <w:abstractNumId w:val="19"/>
  </w:num>
  <w:num w:numId="21" w16cid:durableId="1513640781">
    <w:abstractNumId w:val="4"/>
  </w:num>
  <w:num w:numId="22" w16cid:durableId="1497645919">
    <w:abstractNumId w:val="4"/>
  </w:num>
  <w:num w:numId="23" w16cid:durableId="1783568215">
    <w:abstractNumId w:val="4"/>
  </w:num>
  <w:num w:numId="24" w16cid:durableId="1040933507">
    <w:abstractNumId w:val="11"/>
  </w:num>
  <w:num w:numId="25" w16cid:durableId="395713141">
    <w:abstractNumId w:val="6"/>
  </w:num>
  <w:num w:numId="26" w16cid:durableId="299263862">
    <w:abstractNumId w:val="9"/>
  </w:num>
  <w:num w:numId="27" w16cid:durableId="1967421496">
    <w:abstractNumId w:val="13"/>
  </w:num>
  <w:num w:numId="28" w16cid:durableId="845707005">
    <w:abstractNumId w:val="18"/>
  </w:num>
  <w:num w:numId="29" w16cid:durableId="599948555">
    <w:abstractNumId w:val="36"/>
  </w:num>
  <w:num w:numId="30" w16cid:durableId="1997801763">
    <w:abstractNumId w:val="24"/>
  </w:num>
  <w:num w:numId="31" w16cid:durableId="592008076">
    <w:abstractNumId w:val="33"/>
  </w:num>
  <w:num w:numId="32" w16cid:durableId="1457138724">
    <w:abstractNumId w:val="14"/>
  </w:num>
  <w:num w:numId="33" w16cid:durableId="758715359">
    <w:abstractNumId w:val="7"/>
  </w:num>
  <w:num w:numId="34" w16cid:durableId="651065778">
    <w:abstractNumId w:val="1"/>
  </w:num>
  <w:num w:numId="35" w16cid:durableId="715085568">
    <w:abstractNumId w:val="15"/>
  </w:num>
  <w:num w:numId="36" w16cid:durableId="275913347">
    <w:abstractNumId w:val="29"/>
  </w:num>
  <w:num w:numId="37" w16cid:durableId="1666129523">
    <w:abstractNumId w:val="31"/>
  </w:num>
  <w:num w:numId="38" w16cid:durableId="1698235026">
    <w:abstractNumId w:val="21"/>
  </w:num>
  <w:num w:numId="39" w16cid:durableId="451484312">
    <w:abstractNumId w:va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2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22A"/>
    <w:rsid w:val="00002245"/>
    <w:rsid w:val="0000240F"/>
    <w:rsid w:val="00003A00"/>
    <w:rsid w:val="0000458A"/>
    <w:rsid w:val="00005288"/>
    <w:rsid w:val="00005622"/>
    <w:rsid w:val="00006481"/>
    <w:rsid w:val="0000714D"/>
    <w:rsid w:val="00007716"/>
    <w:rsid w:val="0001051B"/>
    <w:rsid w:val="00011764"/>
    <w:rsid w:val="0001325D"/>
    <w:rsid w:val="0001407E"/>
    <w:rsid w:val="0001480D"/>
    <w:rsid w:val="0001535D"/>
    <w:rsid w:val="00015CF4"/>
    <w:rsid w:val="00016639"/>
    <w:rsid w:val="00017EFB"/>
    <w:rsid w:val="00023836"/>
    <w:rsid w:val="000239DD"/>
    <w:rsid w:val="00024551"/>
    <w:rsid w:val="00024F74"/>
    <w:rsid w:val="00025299"/>
    <w:rsid w:val="00025D12"/>
    <w:rsid w:val="00025DA2"/>
    <w:rsid w:val="00025E43"/>
    <w:rsid w:val="00027942"/>
    <w:rsid w:val="00030355"/>
    <w:rsid w:val="0003277D"/>
    <w:rsid w:val="00033F83"/>
    <w:rsid w:val="00034CE2"/>
    <w:rsid w:val="000407A7"/>
    <w:rsid w:val="00043633"/>
    <w:rsid w:val="00043B81"/>
    <w:rsid w:val="00044CA4"/>
    <w:rsid w:val="000463B1"/>
    <w:rsid w:val="000477D5"/>
    <w:rsid w:val="00050660"/>
    <w:rsid w:val="00051E14"/>
    <w:rsid w:val="000530FC"/>
    <w:rsid w:val="00053447"/>
    <w:rsid w:val="000541C2"/>
    <w:rsid w:val="000610AF"/>
    <w:rsid w:val="000626AE"/>
    <w:rsid w:val="00062D41"/>
    <w:rsid w:val="00063582"/>
    <w:rsid w:val="000636EB"/>
    <w:rsid w:val="00064AE5"/>
    <w:rsid w:val="00066583"/>
    <w:rsid w:val="00066C00"/>
    <w:rsid w:val="000672D1"/>
    <w:rsid w:val="0007206D"/>
    <w:rsid w:val="00072C9C"/>
    <w:rsid w:val="00073303"/>
    <w:rsid w:val="00073A19"/>
    <w:rsid w:val="00073BDD"/>
    <w:rsid w:val="00075CA1"/>
    <w:rsid w:val="00076D1A"/>
    <w:rsid w:val="00077000"/>
    <w:rsid w:val="000773B4"/>
    <w:rsid w:val="00077A8D"/>
    <w:rsid w:val="00080597"/>
    <w:rsid w:val="00080701"/>
    <w:rsid w:val="0008081E"/>
    <w:rsid w:val="000813AF"/>
    <w:rsid w:val="000816EF"/>
    <w:rsid w:val="0008175F"/>
    <w:rsid w:val="00081FB9"/>
    <w:rsid w:val="000820BF"/>
    <w:rsid w:val="000823F1"/>
    <w:rsid w:val="00082690"/>
    <w:rsid w:val="00083341"/>
    <w:rsid w:val="000846FF"/>
    <w:rsid w:val="00087750"/>
    <w:rsid w:val="00087EB3"/>
    <w:rsid w:val="0008AD21"/>
    <w:rsid w:val="000901F0"/>
    <w:rsid w:val="00090C5E"/>
    <w:rsid w:val="00091F48"/>
    <w:rsid w:val="00092DE2"/>
    <w:rsid w:val="00096AF4"/>
    <w:rsid w:val="00097963"/>
    <w:rsid w:val="000A186B"/>
    <w:rsid w:val="000A1A03"/>
    <w:rsid w:val="000A1BBD"/>
    <w:rsid w:val="000A1F79"/>
    <w:rsid w:val="000A2164"/>
    <w:rsid w:val="000A2692"/>
    <w:rsid w:val="000A41EA"/>
    <w:rsid w:val="000A7F87"/>
    <w:rsid w:val="000B172A"/>
    <w:rsid w:val="000B50E2"/>
    <w:rsid w:val="000B5510"/>
    <w:rsid w:val="000B562A"/>
    <w:rsid w:val="000B5823"/>
    <w:rsid w:val="000B5D6E"/>
    <w:rsid w:val="000B5EE4"/>
    <w:rsid w:val="000B6556"/>
    <w:rsid w:val="000B6670"/>
    <w:rsid w:val="000B67A7"/>
    <w:rsid w:val="000B6F38"/>
    <w:rsid w:val="000B7CE6"/>
    <w:rsid w:val="000C0980"/>
    <w:rsid w:val="000C19B6"/>
    <w:rsid w:val="000C343D"/>
    <w:rsid w:val="000C4994"/>
    <w:rsid w:val="000C610C"/>
    <w:rsid w:val="000C6152"/>
    <w:rsid w:val="000C6448"/>
    <w:rsid w:val="000C68CD"/>
    <w:rsid w:val="000C7389"/>
    <w:rsid w:val="000D1F96"/>
    <w:rsid w:val="000D3CDC"/>
    <w:rsid w:val="000D4356"/>
    <w:rsid w:val="000D5EA4"/>
    <w:rsid w:val="000D6580"/>
    <w:rsid w:val="000D662A"/>
    <w:rsid w:val="000E0AF2"/>
    <w:rsid w:val="000E4B51"/>
    <w:rsid w:val="000E6357"/>
    <w:rsid w:val="000E63F7"/>
    <w:rsid w:val="000E6434"/>
    <w:rsid w:val="000E6D89"/>
    <w:rsid w:val="000E779C"/>
    <w:rsid w:val="000F084D"/>
    <w:rsid w:val="000F142B"/>
    <w:rsid w:val="000F46E7"/>
    <w:rsid w:val="000F6126"/>
    <w:rsid w:val="000F6263"/>
    <w:rsid w:val="000F7442"/>
    <w:rsid w:val="000F7453"/>
    <w:rsid w:val="00102872"/>
    <w:rsid w:val="00102A2F"/>
    <w:rsid w:val="00102C98"/>
    <w:rsid w:val="00103BE1"/>
    <w:rsid w:val="001059D0"/>
    <w:rsid w:val="00105C32"/>
    <w:rsid w:val="001068AE"/>
    <w:rsid w:val="00111131"/>
    <w:rsid w:val="001112AD"/>
    <w:rsid w:val="00112272"/>
    <w:rsid w:val="00112907"/>
    <w:rsid w:val="00114DD7"/>
    <w:rsid w:val="00115563"/>
    <w:rsid w:val="001158F9"/>
    <w:rsid w:val="00117B3D"/>
    <w:rsid w:val="00120AD1"/>
    <w:rsid w:val="00121AB0"/>
    <w:rsid w:val="00121D92"/>
    <w:rsid w:val="00122A16"/>
    <w:rsid w:val="001237D7"/>
    <w:rsid w:val="00123AAD"/>
    <w:rsid w:val="00125116"/>
    <w:rsid w:val="00126230"/>
    <w:rsid w:val="00127199"/>
    <w:rsid w:val="001272AA"/>
    <w:rsid w:val="001313BE"/>
    <w:rsid w:val="00131DA1"/>
    <w:rsid w:val="0013292A"/>
    <w:rsid w:val="0013373B"/>
    <w:rsid w:val="00134312"/>
    <w:rsid w:val="00134735"/>
    <w:rsid w:val="001356D0"/>
    <w:rsid w:val="00135E06"/>
    <w:rsid w:val="00136750"/>
    <w:rsid w:val="001433A4"/>
    <w:rsid w:val="00144798"/>
    <w:rsid w:val="00144BE9"/>
    <w:rsid w:val="00150618"/>
    <w:rsid w:val="001525A7"/>
    <w:rsid w:val="00153EC9"/>
    <w:rsid w:val="00154C0F"/>
    <w:rsid w:val="00155BE9"/>
    <w:rsid w:val="00157C6A"/>
    <w:rsid w:val="00160731"/>
    <w:rsid w:val="00163B6F"/>
    <w:rsid w:val="00164237"/>
    <w:rsid w:val="00167CBC"/>
    <w:rsid w:val="00170720"/>
    <w:rsid w:val="00171DC0"/>
    <w:rsid w:val="001728AF"/>
    <w:rsid w:val="00172983"/>
    <w:rsid w:val="00173DEE"/>
    <w:rsid w:val="0017447C"/>
    <w:rsid w:val="00175AFC"/>
    <w:rsid w:val="00175D1C"/>
    <w:rsid w:val="00176707"/>
    <w:rsid w:val="0017778E"/>
    <w:rsid w:val="0018208E"/>
    <w:rsid w:val="00185045"/>
    <w:rsid w:val="001862D9"/>
    <w:rsid w:val="0018663E"/>
    <w:rsid w:val="001870A7"/>
    <w:rsid w:val="0018748D"/>
    <w:rsid w:val="00187A22"/>
    <w:rsid w:val="001916D6"/>
    <w:rsid w:val="0019397A"/>
    <w:rsid w:val="0019545F"/>
    <w:rsid w:val="00195483"/>
    <w:rsid w:val="00196008"/>
    <w:rsid w:val="00197132"/>
    <w:rsid w:val="00197DB6"/>
    <w:rsid w:val="001A0EB1"/>
    <w:rsid w:val="001A372E"/>
    <w:rsid w:val="001A5004"/>
    <w:rsid w:val="001A6FC9"/>
    <w:rsid w:val="001A745F"/>
    <w:rsid w:val="001B06A2"/>
    <w:rsid w:val="001B0E1A"/>
    <w:rsid w:val="001B11CC"/>
    <w:rsid w:val="001B11DA"/>
    <w:rsid w:val="001B12F5"/>
    <w:rsid w:val="001B1E6D"/>
    <w:rsid w:val="001B38EC"/>
    <w:rsid w:val="001B3A39"/>
    <w:rsid w:val="001B43C5"/>
    <w:rsid w:val="001B4430"/>
    <w:rsid w:val="001B5CD9"/>
    <w:rsid w:val="001C2D40"/>
    <w:rsid w:val="001C5CF1"/>
    <w:rsid w:val="001C686E"/>
    <w:rsid w:val="001C6D47"/>
    <w:rsid w:val="001C70AE"/>
    <w:rsid w:val="001D036D"/>
    <w:rsid w:val="001D04EE"/>
    <w:rsid w:val="001D242F"/>
    <w:rsid w:val="001D3E33"/>
    <w:rsid w:val="001D4805"/>
    <w:rsid w:val="001D5877"/>
    <w:rsid w:val="001D5E08"/>
    <w:rsid w:val="001D67A6"/>
    <w:rsid w:val="001D7106"/>
    <w:rsid w:val="001D72AF"/>
    <w:rsid w:val="001D7E0B"/>
    <w:rsid w:val="001E1AB7"/>
    <w:rsid w:val="001E28CE"/>
    <w:rsid w:val="001E57DC"/>
    <w:rsid w:val="001E6289"/>
    <w:rsid w:val="001E64A1"/>
    <w:rsid w:val="001E7C0E"/>
    <w:rsid w:val="001F178D"/>
    <w:rsid w:val="001F3AAB"/>
    <w:rsid w:val="001F52C4"/>
    <w:rsid w:val="001F6040"/>
    <w:rsid w:val="001F74FD"/>
    <w:rsid w:val="002001CF"/>
    <w:rsid w:val="00200327"/>
    <w:rsid w:val="00200C25"/>
    <w:rsid w:val="00202EA2"/>
    <w:rsid w:val="002043A6"/>
    <w:rsid w:val="002045D6"/>
    <w:rsid w:val="00205365"/>
    <w:rsid w:val="002065F8"/>
    <w:rsid w:val="00206614"/>
    <w:rsid w:val="002067A8"/>
    <w:rsid w:val="00206C9A"/>
    <w:rsid w:val="00211CC1"/>
    <w:rsid w:val="00211E35"/>
    <w:rsid w:val="00212026"/>
    <w:rsid w:val="00212CC0"/>
    <w:rsid w:val="002132E0"/>
    <w:rsid w:val="002136FF"/>
    <w:rsid w:val="00214DA0"/>
    <w:rsid w:val="00214ECC"/>
    <w:rsid w:val="00215573"/>
    <w:rsid w:val="00216BAC"/>
    <w:rsid w:val="00216C85"/>
    <w:rsid w:val="00217D10"/>
    <w:rsid w:val="00220818"/>
    <w:rsid w:val="002219FB"/>
    <w:rsid w:val="00221D19"/>
    <w:rsid w:val="00221E51"/>
    <w:rsid w:val="0022234F"/>
    <w:rsid w:val="0022388C"/>
    <w:rsid w:val="002238C8"/>
    <w:rsid w:val="00225F43"/>
    <w:rsid w:val="002261DB"/>
    <w:rsid w:val="0022734C"/>
    <w:rsid w:val="00227436"/>
    <w:rsid w:val="00227A15"/>
    <w:rsid w:val="00230867"/>
    <w:rsid w:val="00232033"/>
    <w:rsid w:val="00235A93"/>
    <w:rsid w:val="00235E9F"/>
    <w:rsid w:val="002363AF"/>
    <w:rsid w:val="0023671C"/>
    <w:rsid w:val="002374FD"/>
    <w:rsid w:val="00237996"/>
    <w:rsid w:val="00237C66"/>
    <w:rsid w:val="002403FD"/>
    <w:rsid w:val="002411D0"/>
    <w:rsid w:val="002420FD"/>
    <w:rsid w:val="00243356"/>
    <w:rsid w:val="0024345D"/>
    <w:rsid w:val="00244526"/>
    <w:rsid w:val="00245270"/>
    <w:rsid w:val="00245763"/>
    <w:rsid w:val="00246722"/>
    <w:rsid w:val="00247558"/>
    <w:rsid w:val="00247D05"/>
    <w:rsid w:val="002522FB"/>
    <w:rsid w:val="00253838"/>
    <w:rsid w:val="00253BC2"/>
    <w:rsid w:val="002540F1"/>
    <w:rsid w:val="00255745"/>
    <w:rsid w:val="0025632F"/>
    <w:rsid w:val="0025735A"/>
    <w:rsid w:val="00260713"/>
    <w:rsid w:val="00260E48"/>
    <w:rsid w:val="00262916"/>
    <w:rsid w:val="00262CAB"/>
    <w:rsid w:val="00263B6D"/>
    <w:rsid w:val="002644D0"/>
    <w:rsid w:val="002660E8"/>
    <w:rsid w:val="00266DF0"/>
    <w:rsid w:val="00267F32"/>
    <w:rsid w:val="00271165"/>
    <w:rsid w:val="00271F20"/>
    <w:rsid w:val="00272C13"/>
    <w:rsid w:val="00272F73"/>
    <w:rsid w:val="00273064"/>
    <w:rsid w:val="002733F7"/>
    <w:rsid w:val="00277E0A"/>
    <w:rsid w:val="0028246C"/>
    <w:rsid w:val="002824B5"/>
    <w:rsid w:val="00282B1C"/>
    <w:rsid w:val="00284D63"/>
    <w:rsid w:val="0028555D"/>
    <w:rsid w:val="00286793"/>
    <w:rsid w:val="00287C25"/>
    <w:rsid w:val="002919CF"/>
    <w:rsid w:val="002926F1"/>
    <w:rsid w:val="00292F4E"/>
    <w:rsid w:val="00293023"/>
    <w:rsid w:val="002932AB"/>
    <w:rsid w:val="002935FD"/>
    <w:rsid w:val="002955FA"/>
    <w:rsid w:val="00296DD0"/>
    <w:rsid w:val="002A1455"/>
    <w:rsid w:val="002A232E"/>
    <w:rsid w:val="002A2922"/>
    <w:rsid w:val="002A46F8"/>
    <w:rsid w:val="002A48DB"/>
    <w:rsid w:val="002A58BA"/>
    <w:rsid w:val="002A5B56"/>
    <w:rsid w:val="002A62C4"/>
    <w:rsid w:val="002A65F1"/>
    <w:rsid w:val="002A662F"/>
    <w:rsid w:val="002A68E6"/>
    <w:rsid w:val="002A6B37"/>
    <w:rsid w:val="002A727C"/>
    <w:rsid w:val="002B10A5"/>
    <w:rsid w:val="002B1A14"/>
    <w:rsid w:val="002B248A"/>
    <w:rsid w:val="002B2544"/>
    <w:rsid w:val="002B26D7"/>
    <w:rsid w:val="002B576D"/>
    <w:rsid w:val="002B601C"/>
    <w:rsid w:val="002B67B1"/>
    <w:rsid w:val="002B7BA8"/>
    <w:rsid w:val="002C3173"/>
    <w:rsid w:val="002C397C"/>
    <w:rsid w:val="002C4181"/>
    <w:rsid w:val="002C48F8"/>
    <w:rsid w:val="002C4B15"/>
    <w:rsid w:val="002C4E1A"/>
    <w:rsid w:val="002C62C6"/>
    <w:rsid w:val="002C63AC"/>
    <w:rsid w:val="002C6425"/>
    <w:rsid w:val="002C72A0"/>
    <w:rsid w:val="002C7CC9"/>
    <w:rsid w:val="002C7EC2"/>
    <w:rsid w:val="002C7F18"/>
    <w:rsid w:val="002D278D"/>
    <w:rsid w:val="002D3430"/>
    <w:rsid w:val="002D3DDC"/>
    <w:rsid w:val="002D454E"/>
    <w:rsid w:val="002D45DA"/>
    <w:rsid w:val="002D4739"/>
    <w:rsid w:val="002D4C43"/>
    <w:rsid w:val="002D4EEB"/>
    <w:rsid w:val="002D4F83"/>
    <w:rsid w:val="002D78C1"/>
    <w:rsid w:val="002D7E22"/>
    <w:rsid w:val="002E0E7A"/>
    <w:rsid w:val="002E1954"/>
    <w:rsid w:val="002E2837"/>
    <w:rsid w:val="002E2ECD"/>
    <w:rsid w:val="002E462A"/>
    <w:rsid w:val="002E4AFA"/>
    <w:rsid w:val="002E4F0E"/>
    <w:rsid w:val="002E7A1B"/>
    <w:rsid w:val="002F075B"/>
    <w:rsid w:val="002F1C5C"/>
    <w:rsid w:val="002F26C9"/>
    <w:rsid w:val="002F331E"/>
    <w:rsid w:val="002F372C"/>
    <w:rsid w:val="002F3920"/>
    <w:rsid w:val="002F459D"/>
    <w:rsid w:val="002F5107"/>
    <w:rsid w:val="002F6ADD"/>
    <w:rsid w:val="002F6EE5"/>
    <w:rsid w:val="002F71BB"/>
    <w:rsid w:val="002F7DE9"/>
    <w:rsid w:val="003000D9"/>
    <w:rsid w:val="00300C60"/>
    <w:rsid w:val="003011E2"/>
    <w:rsid w:val="003012C9"/>
    <w:rsid w:val="00301BB5"/>
    <w:rsid w:val="00303BFB"/>
    <w:rsid w:val="003064A5"/>
    <w:rsid w:val="00307B2E"/>
    <w:rsid w:val="00307EF7"/>
    <w:rsid w:val="0031100A"/>
    <w:rsid w:val="003114FB"/>
    <w:rsid w:val="003129A4"/>
    <w:rsid w:val="00314784"/>
    <w:rsid w:val="00314B4A"/>
    <w:rsid w:val="00315166"/>
    <w:rsid w:val="003156F8"/>
    <w:rsid w:val="00315BCF"/>
    <w:rsid w:val="003174D0"/>
    <w:rsid w:val="00320929"/>
    <w:rsid w:val="00320C75"/>
    <w:rsid w:val="00320DAF"/>
    <w:rsid w:val="00321385"/>
    <w:rsid w:val="00321C8A"/>
    <w:rsid w:val="00322675"/>
    <w:rsid w:val="00322C5A"/>
    <w:rsid w:val="00322F76"/>
    <w:rsid w:val="00324951"/>
    <w:rsid w:val="00324ACB"/>
    <w:rsid w:val="00325D4C"/>
    <w:rsid w:val="00327115"/>
    <w:rsid w:val="00327C04"/>
    <w:rsid w:val="0033139A"/>
    <w:rsid w:val="003316E5"/>
    <w:rsid w:val="00333139"/>
    <w:rsid w:val="003341C2"/>
    <w:rsid w:val="003345E1"/>
    <w:rsid w:val="003353EB"/>
    <w:rsid w:val="003354CE"/>
    <w:rsid w:val="00336212"/>
    <w:rsid w:val="0033728B"/>
    <w:rsid w:val="0034073E"/>
    <w:rsid w:val="003407C0"/>
    <w:rsid w:val="00341BB9"/>
    <w:rsid w:val="00343501"/>
    <w:rsid w:val="00345A85"/>
    <w:rsid w:val="00345BBB"/>
    <w:rsid w:val="00347A3F"/>
    <w:rsid w:val="00351A85"/>
    <w:rsid w:val="00352040"/>
    <w:rsid w:val="0035251C"/>
    <w:rsid w:val="00352CD0"/>
    <w:rsid w:val="00353342"/>
    <w:rsid w:val="003541F4"/>
    <w:rsid w:val="0035787D"/>
    <w:rsid w:val="00357D57"/>
    <w:rsid w:val="0036114B"/>
    <w:rsid w:val="003620C2"/>
    <w:rsid w:val="003624A5"/>
    <w:rsid w:val="00363529"/>
    <w:rsid w:val="00363621"/>
    <w:rsid w:val="003648F4"/>
    <w:rsid w:val="00364C97"/>
    <w:rsid w:val="00366C4D"/>
    <w:rsid w:val="003674FF"/>
    <w:rsid w:val="00367C8B"/>
    <w:rsid w:val="00371772"/>
    <w:rsid w:val="00371FF1"/>
    <w:rsid w:val="003720E9"/>
    <w:rsid w:val="003744E6"/>
    <w:rsid w:val="0037486F"/>
    <w:rsid w:val="00374DCC"/>
    <w:rsid w:val="0037740B"/>
    <w:rsid w:val="00380FD5"/>
    <w:rsid w:val="00382EA1"/>
    <w:rsid w:val="00382FCF"/>
    <w:rsid w:val="00383489"/>
    <w:rsid w:val="00383877"/>
    <w:rsid w:val="0038499A"/>
    <w:rsid w:val="00385042"/>
    <w:rsid w:val="0038605A"/>
    <w:rsid w:val="0038697D"/>
    <w:rsid w:val="00386D23"/>
    <w:rsid w:val="00387149"/>
    <w:rsid w:val="00387F2A"/>
    <w:rsid w:val="00392F17"/>
    <w:rsid w:val="0039529B"/>
    <w:rsid w:val="00396CC6"/>
    <w:rsid w:val="003A1268"/>
    <w:rsid w:val="003A4D91"/>
    <w:rsid w:val="003A4F92"/>
    <w:rsid w:val="003A539F"/>
    <w:rsid w:val="003A6D5A"/>
    <w:rsid w:val="003A7585"/>
    <w:rsid w:val="003A7729"/>
    <w:rsid w:val="003B0E1F"/>
    <w:rsid w:val="003B1110"/>
    <w:rsid w:val="003B11A7"/>
    <w:rsid w:val="003B1990"/>
    <w:rsid w:val="003B1991"/>
    <w:rsid w:val="003B2208"/>
    <w:rsid w:val="003B2581"/>
    <w:rsid w:val="003B2D8B"/>
    <w:rsid w:val="003B35D8"/>
    <w:rsid w:val="003B5701"/>
    <w:rsid w:val="003B5D17"/>
    <w:rsid w:val="003B7BEB"/>
    <w:rsid w:val="003C03E3"/>
    <w:rsid w:val="003C0A03"/>
    <w:rsid w:val="003C396A"/>
    <w:rsid w:val="003C4994"/>
    <w:rsid w:val="003C6022"/>
    <w:rsid w:val="003C6F58"/>
    <w:rsid w:val="003D1E12"/>
    <w:rsid w:val="003D3BAE"/>
    <w:rsid w:val="003D6319"/>
    <w:rsid w:val="003D6532"/>
    <w:rsid w:val="003D6DF6"/>
    <w:rsid w:val="003D7736"/>
    <w:rsid w:val="003E0EDB"/>
    <w:rsid w:val="003E33F7"/>
    <w:rsid w:val="003E3EDA"/>
    <w:rsid w:val="003E50AB"/>
    <w:rsid w:val="003E58D5"/>
    <w:rsid w:val="003E5C23"/>
    <w:rsid w:val="003E7E29"/>
    <w:rsid w:val="003F1606"/>
    <w:rsid w:val="003F16A7"/>
    <w:rsid w:val="003F2033"/>
    <w:rsid w:val="003F24C2"/>
    <w:rsid w:val="003F3209"/>
    <w:rsid w:val="003F64E1"/>
    <w:rsid w:val="003F760D"/>
    <w:rsid w:val="003F78DC"/>
    <w:rsid w:val="003F7D2E"/>
    <w:rsid w:val="00403616"/>
    <w:rsid w:val="0040372E"/>
    <w:rsid w:val="00405EF5"/>
    <w:rsid w:val="00406D66"/>
    <w:rsid w:val="004071DF"/>
    <w:rsid w:val="00407927"/>
    <w:rsid w:val="00407F0E"/>
    <w:rsid w:val="004112B4"/>
    <w:rsid w:val="0041292C"/>
    <w:rsid w:val="00414E09"/>
    <w:rsid w:val="00414F04"/>
    <w:rsid w:val="00415F05"/>
    <w:rsid w:val="00415FDE"/>
    <w:rsid w:val="00416EC2"/>
    <w:rsid w:val="004173FA"/>
    <w:rsid w:val="004173FB"/>
    <w:rsid w:val="0042288D"/>
    <w:rsid w:val="004236C3"/>
    <w:rsid w:val="00425F69"/>
    <w:rsid w:val="00426824"/>
    <w:rsid w:val="004273CA"/>
    <w:rsid w:val="0043311D"/>
    <w:rsid w:val="00437741"/>
    <w:rsid w:val="004403C6"/>
    <w:rsid w:val="00440D69"/>
    <w:rsid w:val="004414A4"/>
    <w:rsid w:val="00442911"/>
    <w:rsid w:val="00444281"/>
    <w:rsid w:val="00444773"/>
    <w:rsid w:val="00445EF5"/>
    <w:rsid w:val="004465C8"/>
    <w:rsid w:val="00450321"/>
    <w:rsid w:val="00451FAC"/>
    <w:rsid w:val="00452187"/>
    <w:rsid w:val="004521F0"/>
    <w:rsid w:val="004523CB"/>
    <w:rsid w:val="00454212"/>
    <w:rsid w:val="00454ECC"/>
    <w:rsid w:val="00456BA0"/>
    <w:rsid w:val="00456DC5"/>
    <w:rsid w:val="004579E1"/>
    <w:rsid w:val="00461AB8"/>
    <w:rsid w:val="00461AD0"/>
    <w:rsid w:val="00463DFA"/>
    <w:rsid w:val="00463F1F"/>
    <w:rsid w:val="00464325"/>
    <w:rsid w:val="004643A1"/>
    <w:rsid w:val="00464519"/>
    <w:rsid w:val="004652A8"/>
    <w:rsid w:val="0046607B"/>
    <w:rsid w:val="004663F0"/>
    <w:rsid w:val="00466765"/>
    <w:rsid w:val="00466C96"/>
    <w:rsid w:val="004676CA"/>
    <w:rsid w:val="00467811"/>
    <w:rsid w:val="00470D0C"/>
    <w:rsid w:val="00472414"/>
    <w:rsid w:val="00473AB3"/>
    <w:rsid w:val="004768C2"/>
    <w:rsid w:val="00477338"/>
    <w:rsid w:val="00477B1B"/>
    <w:rsid w:val="00477B8D"/>
    <w:rsid w:val="00480E18"/>
    <w:rsid w:val="00481D69"/>
    <w:rsid w:val="0048249A"/>
    <w:rsid w:val="00482B37"/>
    <w:rsid w:val="004831A6"/>
    <w:rsid w:val="004838ED"/>
    <w:rsid w:val="00484066"/>
    <w:rsid w:val="00484E09"/>
    <w:rsid w:val="00486CE6"/>
    <w:rsid w:val="00490D54"/>
    <w:rsid w:val="00491B6B"/>
    <w:rsid w:val="00491F12"/>
    <w:rsid w:val="00492307"/>
    <w:rsid w:val="00492325"/>
    <w:rsid w:val="00492F53"/>
    <w:rsid w:val="00493D7E"/>
    <w:rsid w:val="00494FF5"/>
    <w:rsid w:val="00495685"/>
    <w:rsid w:val="00495B18"/>
    <w:rsid w:val="00496994"/>
    <w:rsid w:val="00496D66"/>
    <w:rsid w:val="00496D70"/>
    <w:rsid w:val="00497EF9"/>
    <w:rsid w:val="004A0714"/>
    <w:rsid w:val="004A0BEB"/>
    <w:rsid w:val="004A2545"/>
    <w:rsid w:val="004A2573"/>
    <w:rsid w:val="004A2D8F"/>
    <w:rsid w:val="004A450F"/>
    <w:rsid w:val="004A4752"/>
    <w:rsid w:val="004A5A14"/>
    <w:rsid w:val="004A6AA8"/>
    <w:rsid w:val="004A6EAC"/>
    <w:rsid w:val="004B080D"/>
    <w:rsid w:val="004B10C4"/>
    <w:rsid w:val="004B1F11"/>
    <w:rsid w:val="004B3CF2"/>
    <w:rsid w:val="004B5B02"/>
    <w:rsid w:val="004B6F31"/>
    <w:rsid w:val="004B7738"/>
    <w:rsid w:val="004C037C"/>
    <w:rsid w:val="004C0D06"/>
    <w:rsid w:val="004C144B"/>
    <w:rsid w:val="004C1A04"/>
    <w:rsid w:val="004C1A08"/>
    <w:rsid w:val="004C1DBC"/>
    <w:rsid w:val="004C2266"/>
    <w:rsid w:val="004C2684"/>
    <w:rsid w:val="004C3D4C"/>
    <w:rsid w:val="004C4273"/>
    <w:rsid w:val="004C5863"/>
    <w:rsid w:val="004C7404"/>
    <w:rsid w:val="004C7F18"/>
    <w:rsid w:val="004D0496"/>
    <w:rsid w:val="004D1BF9"/>
    <w:rsid w:val="004D1DE5"/>
    <w:rsid w:val="004D2259"/>
    <w:rsid w:val="004D3AB6"/>
    <w:rsid w:val="004D3EA5"/>
    <w:rsid w:val="004D481D"/>
    <w:rsid w:val="004D4E60"/>
    <w:rsid w:val="004D7D12"/>
    <w:rsid w:val="004E113E"/>
    <w:rsid w:val="004E2708"/>
    <w:rsid w:val="004E29CD"/>
    <w:rsid w:val="004E3492"/>
    <w:rsid w:val="004E45FC"/>
    <w:rsid w:val="004E4859"/>
    <w:rsid w:val="004E4E1B"/>
    <w:rsid w:val="004E5DA1"/>
    <w:rsid w:val="004E6619"/>
    <w:rsid w:val="004E6878"/>
    <w:rsid w:val="004E6A8D"/>
    <w:rsid w:val="004E7347"/>
    <w:rsid w:val="004F09C5"/>
    <w:rsid w:val="004F3F3B"/>
    <w:rsid w:val="004F4764"/>
    <w:rsid w:val="004F7083"/>
    <w:rsid w:val="004F774D"/>
    <w:rsid w:val="004F7ECF"/>
    <w:rsid w:val="0050042C"/>
    <w:rsid w:val="00501210"/>
    <w:rsid w:val="00501378"/>
    <w:rsid w:val="005032E3"/>
    <w:rsid w:val="00503568"/>
    <w:rsid w:val="00503630"/>
    <w:rsid w:val="00504DAC"/>
    <w:rsid w:val="005057EB"/>
    <w:rsid w:val="00505815"/>
    <w:rsid w:val="00507D87"/>
    <w:rsid w:val="00510755"/>
    <w:rsid w:val="00512782"/>
    <w:rsid w:val="00512E9B"/>
    <w:rsid w:val="00513153"/>
    <w:rsid w:val="00513408"/>
    <w:rsid w:val="00513440"/>
    <w:rsid w:val="005146E9"/>
    <w:rsid w:val="00515D3C"/>
    <w:rsid w:val="0051646F"/>
    <w:rsid w:val="00517531"/>
    <w:rsid w:val="005178C1"/>
    <w:rsid w:val="00521FC2"/>
    <w:rsid w:val="005232E1"/>
    <w:rsid w:val="005237EA"/>
    <w:rsid w:val="0052648C"/>
    <w:rsid w:val="00526845"/>
    <w:rsid w:val="00531AF8"/>
    <w:rsid w:val="0053277C"/>
    <w:rsid w:val="00532EF2"/>
    <w:rsid w:val="00533416"/>
    <w:rsid w:val="00533ADB"/>
    <w:rsid w:val="00534A4B"/>
    <w:rsid w:val="00535310"/>
    <w:rsid w:val="00535DB8"/>
    <w:rsid w:val="00540969"/>
    <w:rsid w:val="0054112C"/>
    <w:rsid w:val="0054116E"/>
    <w:rsid w:val="0054130D"/>
    <w:rsid w:val="00542015"/>
    <w:rsid w:val="0054261E"/>
    <w:rsid w:val="00544933"/>
    <w:rsid w:val="00544B89"/>
    <w:rsid w:val="00544BD3"/>
    <w:rsid w:val="005454A6"/>
    <w:rsid w:val="0054636B"/>
    <w:rsid w:val="0054713B"/>
    <w:rsid w:val="0055125E"/>
    <w:rsid w:val="00551DD1"/>
    <w:rsid w:val="00552899"/>
    <w:rsid w:val="00553351"/>
    <w:rsid w:val="0055393C"/>
    <w:rsid w:val="0055393D"/>
    <w:rsid w:val="00553DFA"/>
    <w:rsid w:val="005550B3"/>
    <w:rsid w:val="00555FBA"/>
    <w:rsid w:val="00556BA6"/>
    <w:rsid w:val="00560080"/>
    <w:rsid w:val="005602C7"/>
    <w:rsid w:val="005603B0"/>
    <w:rsid w:val="00560EED"/>
    <w:rsid w:val="00561669"/>
    <w:rsid w:val="00561C5D"/>
    <w:rsid w:val="00563AC8"/>
    <w:rsid w:val="00570880"/>
    <w:rsid w:val="00571A66"/>
    <w:rsid w:val="00572074"/>
    <w:rsid w:val="00572357"/>
    <w:rsid w:val="00572CA7"/>
    <w:rsid w:val="00573918"/>
    <w:rsid w:val="005756CD"/>
    <w:rsid w:val="005756E3"/>
    <w:rsid w:val="0057585B"/>
    <w:rsid w:val="00576BC2"/>
    <w:rsid w:val="00577243"/>
    <w:rsid w:val="00580732"/>
    <w:rsid w:val="005811CA"/>
    <w:rsid w:val="00581EE5"/>
    <w:rsid w:val="00583294"/>
    <w:rsid w:val="00583CF7"/>
    <w:rsid w:val="00584BE2"/>
    <w:rsid w:val="005850D8"/>
    <w:rsid w:val="00585B79"/>
    <w:rsid w:val="005867DE"/>
    <w:rsid w:val="00587162"/>
    <w:rsid w:val="00587792"/>
    <w:rsid w:val="00587E46"/>
    <w:rsid w:val="005930E1"/>
    <w:rsid w:val="00594876"/>
    <w:rsid w:val="005948C4"/>
    <w:rsid w:val="00595C6A"/>
    <w:rsid w:val="00596E21"/>
    <w:rsid w:val="005973ED"/>
    <w:rsid w:val="005978C8"/>
    <w:rsid w:val="00597C35"/>
    <w:rsid w:val="005A0297"/>
    <w:rsid w:val="005A055D"/>
    <w:rsid w:val="005A1814"/>
    <w:rsid w:val="005A1F27"/>
    <w:rsid w:val="005A2079"/>
    <w:rsid w:val="005A27B9"/>
    <w:rsid w:val="005A3542"/>
    <w:rsid w:val="005A740B"/>
    <w:rsid w:val="005B0483"/>
    <w:rsid w:val="005B1CAF"/>
    <w:rsid w:val="005B1E75"/>
    <w:rsid w:val="005B293D"/>
    <w:rsid w:val="005B3499"/>
    <w:rsid w:val="005B3722"/>
    <w:rsid w:val="005B4044"/>
    <w:rsid w:val="005B417B"/>
    <w:rsid w:val="005B4B28"/>
    <w:rsid w:val="005B60AE"/>
    <w:rsid w:val="005B6CE9"/>
    <w:rsid w:val="005B7676"/>
    <w:rsid w:val="005B7FA8"/>
    <w:rsid w:val="005C041D"/>
    <w:rsid w:val="005C09BC"/>
    <w:rsid w:val="005C0CE2"/>
    <w:rsid w:val="005C15AB"/>
    <w:rsid w:val="005C15D3"/>
    <w:rsid w:val="005C2666"/>
    <w:rsid w:val="005C3164"/>
    <w:rsid w:val="005C3244"/>
    <w:rsid w:val="005C3ADC"/>
    <w:rsid w:val="005C4193"/>
    <w:rsid w:val="005C5A50"/>
    <w:rsid w:val="005C69A0"/>
    <w:rsid w:val="005C6DF0"/>
    <w:rsid w:val="005C729D"/>
    <w:rsid w:val="005D0513"/>
    <w:rsid w:val="005D10E4"/>
    <w:rsid w:val="005D18C9"/>
    <w:rsid w:val="005D1A87"/>
    <w:rsid w:val="005D1BFD"/>
    <w:rsid w:val="005E085D"/>
    <w:rsid w:val="005E2729"/>
    <w:rsid w:val="005E3151"/>
    <w:rsid w:val="005E3C1A"/>
    <w:rsid w:val="005E6D31"/>
    <w:rsid w:val="005E6E42"/>
    <w:rsid w:val="005F2AD5"/>
    <w:rsid w:val="005F2DD8"/>
    <w:rsid w:val="005F35BE"/>
    <w:rsid w:val="005F63E7"/>
    <w:rsid w:val="005F6504"/>
    <w:rsid w:val="00600112"/>
    <w:rsid w:val="00600272"/>
    <w:rsid w:val="006003C3"/>
    <w:rsid w:val="00600D63"/>
    <w:rsid w:val="00601D71"/>
    <w:rsid w:val="00602BCB"/>
    <w:rsid w:val="00603254"/>
    <w:rsid w:val="006032FE"/>
    <w:rsid w:val="006039A5"/>
    <w:rsid w:val="0060402F"/>
    <w:rsid w:val="00604E13"/>
    <w:rsid w:val="00605B02"/>
    <w:rsid w:val="0060633E"/>
    <w:rsid w:val="0060648C"/>
    <w:rsid w:val="00607DD2"/>
    <w:rsid w:val="006103E1"/>
    <w:rsid w:val="00611391"/>
    <w:rsid w:val="006129D6"/>
    <w:rsid w:val="00612EB0"/>
    <w:rsid w:val="00613150"/>
    <w:rsid w:val="006213CD"/>
    <w:rsid w:val="0062162A"/>
    <w:rsid w:val="00622559"/>
    <w:rsid w:val="00622E3D"/>
    <w:rsid w:val="0063189B"/>
    <w:rsid w:val="00631B31"/>
    <w:rsid w:val="00632161"/>
    <w:rsid w:val="00632AD4"/>
    <w:rsid w:val="00633280"/>
    <w:rsid w:val="006332F5"/>
    <w:rsid w:val="0063580D"/>
    <w:rsid w:val="0063787E"/>
    <w:rsid w:val="00640E8D"/>
    <w:rsid w:val="00642B7C"/>
    <w:rsid w:val="00643760"/>
    <w:rsid w:val="0064512F"/>
    <w:rsid w:val="006460DF"/>
    <w:rsid w:val="006508D6"/>
    <w:rsid w:val="00652BEB"/>
    <w:rsid w:val="00653A0F"/>
    <w:rsid w:val="00653B2D"/>
    <w:rsid w:val="00655676"/>
    <w:rsid w:val="006565DC"/>
    <w:rsid w:val="00662915"/>
    <w:rsid w:val="006634B4"/>
    <w:rsid w:val="006638F3"/>
    <w:rsid w:val="00664875"/>
    <w:rsid w:val="00664ED6"/>
    <w:rsid w:val="0066504A"/>
    <w:rsid w:val="00667FD5"/>
    <w:rsid w:val="00670486"/>
    <w:rsid w:val="00670774"/>
    <w:rsid w:val="006721B5"/>
    <w:rsid w:val="0067578E"/>
    <w:rsid w:val="00677091"/>
    <w:rsid w:val="006772C9"/>
    <w:rsid w:val="00677429"/>
    <w:rsid w:val="006775CC"/>
    <w:rsid w:val="0067790E"/>
    <w:rsid w:val="00680466"/>
    <w:rsid w:val="00682308"/>
    <w:rsid w:val="00683A55"/>
    <w:rsid w:val="0068408E"/>
    <w:rsid w:val="006848ED"/>
    <w:rsid w:val="006849D1"/>
    <w:rsid w:val="006851E3"/>
    <w:rsid w:val="006864D2"/>
    <w:rsid w:val="00691F1E"/>
    <w:rsid w:val="00693F93"/>
    <w:rsid w:val="00694A69"/>
    <w:rsid w:val="00695897"/>
    <w:rsid w:val="006961D5"/>
    <w:rsid w:val="006A0D79"/>
    <w:rsid w:val="006A25D3"/>
    <w:rsid w:val="006A2C85"/>
    <w:rsid w:val="006A2DEF"/>
    <w:rsid w:val="006A4029"/>
    <w:rsid w:val="006A4B60"/>
    <w:rsid w:val="006A5CAF"/>
    <w:rsid w:val="006A6246"/>
    <w:rsid w:val="006A62F2"/>
    <w:rsid w:val="006A67AA"/>
    <w:rsid w:val="006B0BC0"/>
    <w:rsid w:val="006B2047"/>
    <w:rsid w:val="006B26D0"/>
    <w:rsid w:val="006B40E9"/>
    <w:rsid w:val="006B4802"/>
    <w:rsid w:val="006B5911"/>
    <w:rsid w:val="006B726B"/>
    <w:rsid w:val="006B736F"/>
    <w:rsid w:val="006B77D6"/>
    <w:rsid w:val="006B7978"/>
    <w:rsid w:val="006C0D38"/>
    <w:rsid w:val="006C167F"/>
    <w:rsid w:val="006C1CC7"/>
    <w:rsid w:val="006C4328"/>
    <w:rsid w:val="006C4CB6"/>
    <w:rsid w:val="006C5279"/>
    <w:rsid w:val="006C63FD"/>
    <w:rsid w:val="006C66E7"/>
    <w:rsid w:val="006C7582"/>
    <w:rsid w:val="006D0F39"/>
    <w:rsid w:val="006D0FE4"/>
    <w:rsid w:val="006D2504"/>
    <w:rsid w:val="006D2B4D"/>
    <w:rsid w:val="006D2C2A"/>
    <w:rsid w:val="006D625A"/>
    <w:rsid w:val="006D6658"/>
    <w:rsid w:val="006D7357"/>
    <w:rsid w:val="006E0646"/>
    <w:rsid w:val="006E0BE8"/>
    <w:rsid w:val="006E2330"/>
    <w:rsid w:val="006E342A"/>
    <w:rsid w:val="006E362C"/>
    <w:rsid w:val="006E3DD0"/>
    <w:rsid w:val="006E4D01"/>
    <w:rsid w:val="006E4E0C"/>
    <w:rsid w:val="006E58A3"/>
    <w:rsid w:val="006E7CAB"/>
    <w:rsid w:val="006F0211"/>
    <w:rsid w:val="006F0E08"/>
    <w:rsid w:val="006F1D77"/>
    <w:rsid w:val="006F3E8B"/>
    <w:rsid w:val="006F3E8C"/>
    <w:rsid w:val="006F476C"/>
    <w:rsid w:val="006F5052"/>
    <w:rsid w:val="006F565A"/>
    <w:rsid w:val="007002A5"/>
    <w:rsid w:val="00700AF8"/>
    <w:rsid w:val="0070230E"/>
    <w:rsid w:val="00703D28"/>
    <w:rsid w:val="007055B1"/>
    <w:rsid w:val="00705BAC"/>
    <w:rsid w:val="007060E5"/>
    <w:rsid w:val="007060F7"/>
    <w:rsid w:val="00707215"/>
    <w:rsid w:val="007078BE"/>
    <w:rsid w:val="00707F97"/>
    <w:rsid w:val="0071037E"/>
    <w:rsid w:val="007129DA"/>
    <w:rsid w:val="00714A20"/>
    <w:rsid w:val="00714B6A"/>
    <w:rsid w:val="00714FA3"/>
    <w:rsid w:val="00715D54"/>
    <w:rsid w:val="00717254"/>
    <w:rsid w:val="00720601"/>
    <w:rsid w:val="007225C8"/>
    <w:rsid w:val="0072291C"/>
    <w:rsid w:val="007240BB"/>
    <w:rsid w:val="0072489E"/>
    <w:rsid w:val="007251B6"/>
    <w:rsid w:val="00726216"/>
    <w:rsid w:val="007272AB"/>
    <w:rsid w:val="00727A2B"/>
    <w:rsid w:val="00727A5A"/>
    <w:rsid w:val="007303E4"/>
    <w:rsid w:val="00731A13"/>
    <w:rsid w:val="007320A0"/>
    <w:rsid w:val="0073269C"/>
    <w:rsid w:val="0073302B"/>
    <w:rsid w:val="00733939"/>
    <w:rsid w:val="007345A4"/>
    <w:rsid w:val="007347BA"/>
    <w:rsid w:val="007363CA"/>
    <w:rsid w:val="007363CB"/>
    <w:rsid w:val="00741289"/>
    <w:rsid w:val="00741A9F"/>
    <w:rsid w:val="007424A1"/>
    <w:rsid w:val="00742FFF"/>
    <w:rsid w:val="0074350A"/>
    <w:rsid w:val="00743563"/>
    <w:rsid w:val="00743F72"/>
    <w:rsid w:val="00744C69"/>
    <w:rsid w:val="007464A4"/>
    <w:rsid w:val="007466B2"/>
    <w:rsid w:val="007470E9"/>
    <w:rsid w:val="0075257B"/>
    <w:rsid w:val="007539AA"/>
    <w:rsid w:val="0075497F"/>
    <w:rsid w:val="007550A5"/>
    <w:rsid w:val="0075681D"/>
    <w:rsid w:val="00756C6B"/>
    <w:rsid w:val="00760A5A"/>
    <w:rsid w:val="00760D41"/>
    <w:rsid w:val="00763028"/>
    <w:rsid w:val="0076443F"/>
    <w:rsid w:val="007649AB"/>
    <w:rsid w:val="007663AA"/>
    <w:rsid w:val="0076689C"/>
    <w:rsid w:val="00766B35"/>
    <w:rsid w:val="007672BA"/>
    <w:rsid w:val="00767DC0"/>
    <w:rsid w:val="007723A6"/>
    <w:rsid w:val="007726DF"/>
    <w:rsid w:val="007737E2"/>
    <w:rsid w:val="00773818"/>
    <w:rsid w:val="00774179"/>
    <w:rsid w:val="00774C24"/>
    <w:rsid w:val="00775B0B"/>
    <w:rsid w:val="00775CF5"/>
    <w:rsid w:val="00781493"/>
    <w:rsid w:val="007822A4"/>
    <w:rsid w:val="00783830"/>
    <w:rsid w:val="00785B66"/>
    <w:rsid w:val="00786B14"/>
    <w:rsid w:val="007879F8"/>
    <w:rsid w:val="007904C1"/>
    <w:rsid w:val="007906B1"/>
    <w:rsid w:val="00791B57"/>
    <w:rsid w:val="007923E3"/>
    <w:rsid w:val="007928F2"/>
    <w:rsid w:val="007947C7"/>
    <w:rsid w:val="00794EA1"/>
    <w:rsid w:val="00797503"/>
    <w:rsid w:val="007A20F7"/>
    <w:rsid w:val="007A221C"/>
    <w:rsid w:val="007A2292"/>
    <w:rsid w:val="007A40F3"/>
    <w:rsid w:val="007A42A4"/>
    <w:rsid w:val="007A597F"/>
    <w:rsid w:val="007A6663"/>
    <w:rsid w:val="007A6CA6"/>
    <w:rsid w:val="007A6F3C"/>
    <w:rsid w:val="007A7D54"/>
    <w:rsid w:val="007B161F"/>
    <w:rsid w:val="007B174A"/>
    <w:rsid w:val="007B385B"/>
    <w:rsid w:val="007B4E9D"/>
    <w:rsid w:val="007B54C8"/>
    <w:rsid w:val="007B573E"/>
    <w:rsid w:val="007C3A24"/>
    <w:rsid w:val="007D0490"/>
    <w:rsid w:val="007D2A26"/>
    <w:rsid w:val="007D2AC2"/>
    <w:rsid w:val="007D4C29"/>
    <w:rsid w:val="007D5D3D"/>
    <w:rsid w:val="007D5DDE"/>
    <w:rsid w:val="007D6A03"/>
    <w:rsid w:val="007D6F09"/>
    <w:rsid w:val="007E09CB"/>
    <w:rsid w:val="007E2862"/>
    <w:rsid w:val="007E4860"/>
    <w:rsid w:val="007E4F90"/>
    <w:rsid w:val="007E5E40"/>
    <w:rsid w:val="007E6655"/>
    <w:rsid w:val="007F2E38"/>
    <w:rsid w:val="007F2E84"/>
    <w:rsid w:val="007F372D"/>
    <w:rsid w:val="007F4009"/>
    <w:rsid w:val="007F52AC"/>
    <w:rsid w:val="007F70C3"/>
    <w:rsid w:val="007F70F6"/>
    <w:rsid w:val="007F73C6"/>
    <w:rsid w:val="007F7A9F"/>
    <w:rsid w:val="007F7DC7"/>
    <w:rsid w:val="008011BB"/>
    <w:rsid w:val="008015FE"/>
    <w:rsid w:val="00801714"/>
    <w:rsid w:val="00801B51"/>
    <w:rsid w:val="00801DAC"/>
    <w:rsid w:val="0080586E"/>
    <w:rsid w:val="00806112"/>
    <w:rsid w:val="00806AB2"/>
    <w:rsid w:val="00810653"/>
    <w:rsid w:val="008107BC"/>
    <w:rsid w:val="00812FC5"/>
    <w:rsid w:val="008139CB"/>
    <w:rsid w:val="00813F07"/>
    <w:rsid w:val="00816741"/>
    <w:rsid w:val="008167ED"/>
    <w:rsid w:val="00816DB6"/>
    <w:rsid w:val="0082022B"/>
    <w:rsid w:val="00820584"/>
    <w:rsid w:val="0082264A"/>
    <w:rsid w:val="008232C2"/>
    <w:rsid w:val="0082378A"/>
    <w:rsid w:val="00823D18"/>
    <w:rsid w:val="0082438C"/>
    <w:rsid w:val="008243E5"/>
    <w:rsid w:val="008245BE"/>
    <w:rsid w:val="00824845"/>
    <w:rsid w:val="008268CE"/>
    <w:rsid w:val="00827387"/>
    <w:rsid w:val="00827D80"/>
    <w:rsid w:val="0083086C"/>
    <w:rsid w:val="008312E9"/>
    <w:rsid w:val="00832755"/>
    <w:rsid w:val="0083390D"/>
    <w:rsid w:val="00834888"/>
    <w:rsid w:val="0083682C"/>
    <w:rsid w:val="0083774A"/>
    <w:rsid w:val="0084023A"/>
    <w:rsid w:val="008402F4"/>
    <w:rsid w:val="008405A3"/>
    <w:rsid w:val="008407B3"/>
    <w:rsid w:val="00843E3E"/>
    <w:rsid w:val="0084404D"/>
    <w:rsid w:val="00844E72"/>
    <w:rsid w:val="00844F60"/>
    <w:rsid w:val="008461FC"/>
    <w:rsid w:val="00846569"/>
    <w:rsid w:val="00846C9F"/>
    <w:rsid w:val="00847200"/>
    <w:rsid w:val="0085045B"/>
    <w:rsid w:val="00851284"/>
    <w:rsid w:val="00851583"/>
    <w:rsid w:val="00851629"/>
    <w:rsid w:val="008519F9"/>
    <w:rsid w:val="0085228C"/>
    <w:rsid w:val="008547B0"/>
    <w:rsid w:val="008550C4"/>
    <w:rsid w:val="00855429"/>
    <w:rsid w:val="00857312"/>
    <w:rsid w:val="00857F13"/>
    <w:rsid w:val="00861492"/>
    <w:rsid w:val="00863F99"/>
    <w:rsid w:val="00864038"/>
    <w:rsid w:val="00864496"/>
    <w:rsid w:val="008644D4"/>
    <w:rsid w:val="008653CC"/>
    <w:rsid w:val="00866097"/>
    <w:rsid w:val="00866519"/>
    <w:rsid w:val="00870191"/>
    <w:rsid w:val="00870C98"/>
    <w:rsid w:val="00871629"/>
    <w:rsid w:val="00872882"/>
    <w:rsid w:val="00872FDF"/>
    <w:rsid w:val="00873056"/>
    <w:rsid w:val="00873BBB"/>
    <w:rsid w:val="00874C21"/>
    <w:rsid w:val="00875DFC"/>
    <w:rsid w:val="00877182"/>
    <w:rsid w:val="00877442"/>
    <w:rsid w:val="008803C3"/>
    <w:rsid w:val="00881090"/>
    <w:rsid w:val="00881EA1"/>
    <w:rsid w:val="00881EB2"/>
    <w:rsid w:val="008822F1"/>
    <w:rsid w:val="008826F0"/>
    <w:rsid w:val="00883E0A"/>
    <w:rsid w:val="00884778"/>
    <w:rsid w:val="00886673"/>
    <w:rsid w:val="00886E1F"/>
    <w:rsid w:val="00886F07"/>
    <w:rsid w:val="00887108"/>
    <w:rsid w:val="00887567"/>
    <w:rsid w:val="00890806"/>
    <w:rsid w:val="00892F18"/>
    <w:rsid w:val="008931DB"/>
    <w:rsid w:val="008932B4"/>
    <w:rsid w:val="008934B7"/>
    <w:rsid w:val="008938A7"/>
    <w:rsid w:val="0089411E"/>
    <w:rsid w:val="0089447A"/>
    <w:rsid w:val="008950A9"/>
    <w:rsid w:val="00895563"/>
    <w:rsid w:val="00896D4D"/>
    <w:rsid w:val="008A079C"/>
    <w:rsid w:val="008A1296"/>
    <w:rsid w:val="008A1A72"/>
    <w:rsid w:val="008A2439"/>
    <w:rsid w:val="008A3BA4"/>
    <w:rsid w:val="008A44E6"/>
    <w:rsid w:val="008A46E9"/>
    <w:rsid w:val="008A5A1A"/>
    <w:rsid w:val="008A60A8"/>
    <w:rsid w:val="008A7997"/>
    <w:rsid w:val="008B200B"/>
    <w:rsid w:val="008B24FE"/>
    <w:rsid w:val="008B37D9"/>
    <w:rsid w:val="008B389C"/>
    <w:rsid w:val="008B42C2"/>
    <w:rsid w:val="008B447D"/>
    <w:rsid w:val="008B5C42"/>
    <w:rsid w:val="008B6646"/>
    <w:rsid w:val="008B69A9"/>
    <w:rsid w:val="008B6ACF"/>
    <w:rsid w:val="008B6FCA"/>
    <w:rsid w:val="008B7490"/>
    <w:rsid w:val="008C0917"/>
    <w:rsid w:val="008C0971"/>
    <w:rsid w:val="008C133D"/>
    <w:rsid w:val="008C1E91"/>
    <w:rsid w:val="008C2798"/>
    <w:rsid w:val="008C49F2"/>
    <w:rsid w:val="008C6978"/>
    <w:rsid w:val="008C69DC"/>
    <w:rsid w:val="008C75A2"/>
    <w:rsid w:val="008D1D94"/>
    <w:rsid w:val="008D3271"/>
    <w:rsid w:val="008D372A"/>
    <w:rsid w:val="008D4F77"/>
    <w:rsid w:val="008D5E45"/>
    <w:rsid w:val="008D7EC5"/>
    <w:rsid w:val="008E08BC"/>
    <w:rsid w:val="008E0C52"/>
    <w:rsid w:val="008E14C9"/>
    <w:rsid w:val="008E1B47"/>
    <w:rsid w:val="008E3371"/>
    <w:rsid w:val="008E4218"/>
    <w:rsid w:val="008E4645"/>
    <w:rsid w:val="008E75CA"/>
    <w:rsid w:val="008E7B87"/>
    <w:rsid w:val="008F17FA"/>
    <w:rsid w:val="008F29CF"/>
    <w:rsid w:val="008F2E33"/>
    <w:rsid w:val="008F2F6E"/>
    <w:rsid w:val="008F3002"/>
    <w:rsid w:val="008F4BD5"/>
    <w:rsid w:val="008F686D"/>
    <w:rsid w:val="008F714E"/>
    <w:rsid w:val="008F76C4"/>
    <w:rsid w:val="00901521"/>
    <w:rsid w:val="0090229B"/>
    <w:rsid w:val="00902416"/>
    <w:rsid w:val="0090415F"/>
    <w:rsid w:val="009051A8"/>
    <w:rsid w:val="00905531"/>
    <w:rsid w:val="00905630"/>
    <w:rsid w:val="00906FE5"/>
    <w:rsid w:val="00907831"/>
    <w:rsid w:val="00911DE9"/>
    <w:rsid w:val="0091389F"/>
    <w:rsid w:val="00913CBC"/>
    <w:rsid w:val="009164D8"/>
    <w:rsid w:val="00920190"/>
    <w:rsid w:val="00921BEE"/>
    <w:rsid w:val="00921CD9"/>
    <w:rsid w:val="0092234B"/>
    <w:rsid w:val="0092486E"/>
    <w:rsid w:val="0092527A"/>
    <w:rsid w:val="00925836"/>
    <w:rsid w:val="00930324"/>
    <w:rsid w:val="009303D9"/>
    <w:rsid w:val="00930BAE"/>
    <w:rsid w:val="0093125E"/>
    <w:rsid w:val="00932CC4"/>
    <w:rsid w:val="00933073"/>
    <w:rsid w:val="009335A2"/>
    <w:rsid w:val="009347FC"/>
    <w:rsid w:val="00934A3F"/>
    <w:rsid w:val="00934D35"/>
    <w:rsid w:val="00935055"/>
    <w:rsid w:val="00935123"/>
    <w:rsid w:val="0093526A"/>
    <w:rsid w:val="00935F06"/>
    <w:rsid w:val="00936CDD"/>
    <w:rsid w:val="00937AF6"/>
    <w:rsid w:val="009401E4"/>
    <w:rsid w:val="0094104C"/>
    <w:rsid w:val="00942878"/>
    <w:rsid w:val="009439E6"/>
    <w:rsid w:val="00944232"/>
    <w:rsid w:val="00944D42"/>
    <w:rsid w:val="00945526"/>
    <w:rsid w:val="009457F9"/>
    <w:rsid w:val="00945EED"/>
    <w:rsid w:val="00947236"/>
    <w:rsid w:val="009502E7"/>
    <w:rsid w:val="00950437"/>
    <w:rsid w:val="00950FE4"/>
    <w:rsid w:val="0095394E"/>
    <w:rsid w:val="0095497B"/>
    <w:rsid w:val="009562F1"/>
    <w:rsid w:val="00956875"/>
    <w:rsid w:val="00960139"/>
    <w:rsid w:val="00960562"/>
    <w:rsid w:val="00961AF8"/>
    <w:rsid w:val="00963A08"/>
    <w:rsid w:val="00963DEF"/>
    <w:rsid w:val="00964902"/>
    <w:rsid w:val="0096662F"/>
    <w:rsid w:val="00966DBF"/>
    <w:rsid w:val="00966F0E"/>
    <w:rsid w:val="009672E3"/>
    <w:rsid w:val="00970A24"/>
    <w:rsid w:val="00971639"/>
    <w:rsid w:val="00971F19"/>
    <w:rsid w:val="0097225E"/>
    <w:rsid w:val="00972295"/>
    <w:rsid w:val="009737D3"/>
    <w:rsid w:val="00974B4C"/>
    <w:rsid w:val="00974E3A"/>
    <w:rsid w:val="00976387"/>
    <w:rsid w:val="00976513"/>
    <w:rsid w:val="00977849"/>
    <w:rsid w:val="00980A82"/>
    <w:rsid w:val="00981644"/>
    <w:rsid w:val="00983DD9"/>
    <w:rsid w:val="009848A5"/>
    <w:rsid w:val="0098703E"/>
    <w:rsid w:val="00987E2F"/>
    <w:rsid w:val="00990C9B"/>
    <w:rsid w:val="00994729"/>
    <w:rsid w:val="00995505"/>
    <w:rsid w:val="00995A3F"/>
    <w:rsid w:val="00996EF1"/>
    <w:rsid w:val="009A2739"/>
    <w:rsid w:val="009A35E5"/>
    <w:rsid w:val="009A4A68"/>
    <w:rsid w:val="009A4F3E"/>
    <w:rsid w:val="009A50F2"/>
    <w:rsid w:val="009B0760"/>
    <w:rsid w:val="009B0CE0"/>
    <w:rsid w:val="009B1918"/>
    <w:rsid w:val="009B1F4B"/>
    <w:rsid w:val="009B2119"/>
    <w:rsid w:val="009B3747"/>
    <w:rsid w:val="009B4342"/>
    <w:rsid w:val="009B52EE"/>
    <w:rsid w:val="009B7EAB"/>
    <w:rsid w:val="009C04B8"/>
    <w:rsid w:val="009C100E"/>
    <w:rsid w:val="009C3B3F"/>
    <w:rsid w:val="009C43C3"/>
    <w:rsid w:val="009C4C1A"/>
    <w:rsid w:val="009C68C7"/>
    <w:rsid w:val="009C6F9E"/>
    <w:rsid w:val="009D2A19"/>
    <w:rsid w:val="009D2AAC"/>
    <w:rsid w:val="009D2C7E"/>
    <w:rsid w:val="009D3260"/>
    <w:rsid w:val="009D3303"/>
    <w:rsid w:val="009D33FB"/>
    <w:rsid w:val="009D4697"/>
    <w:rsid w:val="009D59EA"/>
    <w:rsid w:val="009E0ABE"/>
    <w:rsid w:val="009E0F8D"/>
    <w:rsid w:val="009E121A"/>
    <w:rsid w:val="009E1C98"/>
    <w:rsid w:val="009E1EBF"/>
    <w:rsid w:val="009E3E2E"/>
    <w:rsid w:val="009E42D1"/>
    <w:rsid w:val="009E5A77"/>
    <w:rsid w:val="009E64D3"/>
    <w:rsid w:val="009E6B9B"/>
    <w:rsid w:val="009F0950"/>
    <w:rsid w:val="009F13FE"/>
    <w:rsid w:val="009F2029"/>
    <w:rsid w:val="009F64DE"/>
    <w:rsid w:val="009F6CA3"/>
    <w:rsid w:val="00A01AD6"/>
    <w:rsid w:val="00A01F5C"/>
    <w:rsid w:val="00A02407"/>
    <w:rsid w:val="00A06675"/>
    <w:rsid w:val="00A06E10"/>
    <w:rsid w:val="00A06F92"/>
    <w:rsid w:val="00A1018F"/>
    <w:rsid w:val="00A10943"/>
    <w:rsid w:val="00A11632"/>
    <w:rsid w:val="00A13565"/>
    <w:rsid w:val="00A21B12"/>
    <w:rsid w:val="00A21EC0"/>
    <w:rsid w:val="00A21F43"/>
    <w:rsid w:val="00A22481"/>
    <w:rsid w:val="00A23486"/>
    <w:rsid w:val="00A252DC"/>
    <w:rsid w:val="00A254C4"/>
    <w:rsid w:val="00A300F8"/>
    <w:rsid w:val="00A30F27"/>
    <w:rsid w:val="00A315D2"/>
    <w:rsid w:val="00A32F8D"/>
    <w:rsid w:val="00A330EC"/>
    <w:rsid w:val="00A33144"/>
    <w:rsid w:val="00A34B93"/>
    <w:rsid w:val="00A354F7"/>
    <w:rsid w:val="00A35682"/>
    <w:rsid w:val="00A36425"/>
    <w:rsid w:val="00A37AB1"/>
    <w:rsid w:val="00A37B4C"/>
    <w:rsid w:val="00A409F2"/>
    <w:rsid w:val="00A413F6"/>
    <w:rsid w:val="00A424DA"/>
    <w:rsid w:val="00A42E17"/>
    <w:rsid w:val="00A43158"/>
    <w:rsid w:val="00A440E0"/>
    <w:rsid w:val="00A44326"/>
    <w:rsid w:val="00A4728F"/>
    <w:rsid w:val="00A50B9A"/>
    <w:rsid w:val="00A544FD"/>
    <w:rsid w:val="00A551FE"/>
    <w:rsid w:val="00A5621A"/>
    <w:rsid w:val="00A56859"/>
    <w:rsid w:val="00A56FE9"/>
    <w:rsid w:val="00A574D7"/>
    <w:rsid w:val="00A574EA"/>
    <w:rsid w:val="00A5784F"/>
    <w:rsid w:val="00A57F3B"/>
    <w:rsid w:val="00A6161E"/>
    <w:rsid w:val="00A62E9A"/>
    <w:rsid w:val="00A631D2"/>
    <w:rsid w:val="00A64885"/>
    <w:rsid w:val="00A652C3"/>
    <w:rsid w:val="00A65C71"/>
    <w:rsid w:val="00A6655D"/>
    <w:rsid w:val="00A669A2"/>
    <w:rsid w:val="00A679FA"/>
    <w:rsid w:val="00A7013D"/>
    <w:rsid w:val="00A7190B"/>
    <w:rsid w:val="00A71C48"/>
    <w:rsid w:val="00A72692"/>
    <w:rsid w:val="00A72C5D"/>
    <w:rsid w:val="00A73838"/>
    <w:rsid w:val="00A73C78"/>
    <w:rsid w:val="00A74FC4"/>
    <w:rsid w:val="00A751B7"/>
    <w:rsid w:val="00A753DD"/>
    <w:rsid w:val="00A7594C"/>
    <w:rsid w:val="00A7602A"/>
    <w:rsid w:val="00A7622F"/>
    <w:rsid w:val="00A772A9"/>
    <w:rsid w:val="00A779FE"/>
    <w:rsid w:val="00A77B32"/>
    <w:rsid w:val="00A802AA"/>
    <w:rsid w:val="00A8528E"/>
    <w:rsid w:val="00A8648B"/>
    <w:rsid w:val="00A86C90"/>
    <w:rsid w:val="00A86E04"/>
    <w:rsid w:val="00A87016"/>
    <w:rsid w:val="00A8756F"/>
    <w:rsid w:val="00A8759A"/>
    <w:rsid w:val="00A9267B"/>
    <w:rsid w:val="00A930D6"/>
    <w:rsid w:val="00A94E59"/>
    <w:rsid w:val="00A954F9"/>
    <w:rsid w:val="00AA01A7"/>
    <w:rsid w:val="00AA0749"/>
    <w:rsid w:val="00AA1BD4"/>
    <w:rsid w:val="00AA1EC0"/>
    <w:rsid w:val="00AA3BB1"/>
    <w:rsid w:val="00AA43D1"/>
    <w:rsid w:val="00AA4572"/>
    <w:rsid w:val="00AA48A2"/>
    <w:rsid w:val="00AA5061"/>
    <w:rsid w:val="00AA6A2F"/>
    <w:rsid w:val="00AA6B1C"/>
    <w:rsid w:val="00AA7381"/>
    <w:rsid w:val="00AA7516"/>
    <w:rsid w:val="00AB02CB"/>
    <w:rsid w:val="00AB0702"/>
    <w:rsid w:val="00AB0916"/>
    <w:rsid w:val="00AB0CD3"/>
    <w:rsid w:val="00AB0D6B"/>
    <w:rsid w:val="00AB16A9"/>
    <w:rsid w:val="00AB20E9"/>
    <w:rsid w:val="00AB487A"/>
    <w:rsid w:val="00AB54BB"/>
    <w:rsid w:val="00AB58CE"/>
    <w:rsid w:val="00AB62C8"/>
    <w:rsid w:val="00AB63BC"/>
    <w:rsid w:val="00AB6A98"/>
    <w:rsid w:val="00AB752F"/>
    <w:rsid w:val="00AB7581"/>
    <w:rsid w:val="00AB79E1"/>
    <w:rsid w:val="00AC00C3"/>
    <w:rsid w:val="00AC0289"/>
    <w:rsid w:val="00AC0F9F"/>
    <w:rsid w:val="00AC1CFB"/>
    <w:rsid w:val="00AC2036"/>
    <w:rsid w:val="00AC32B0"/>
    <w:rsid w:val="00AC552A"/>
    <w:rsid w:val="00AC723F"/>
    <w:rsid w:val="00AC7E9F"/>
    <w:rsid w:val="00AD2AEC"/>
    <w:rsid w:val="00AD4D9D"/>
    <w:rsid w:val="00AD534B"/>
    <w:rsid w:val="00AD646F"/>
    <w:rsid w:val="00AD6B6F"/>
    <w:rsid w:val="00AD6D60"/>
    <w:rsid w:val="00AD79CC"/>
    <w:rsid w:val="00AD7F00"/>
    <w:rsid w:val="00AD7F7D"/>
    <w:rsid w:val="00AE00D2"/>
    <w:rsid w:val="00AE0A41"/>
    <w:rsid w:val="00AE0E78"/>
    <w:rsid w:val="00AE2D11"/>
    <w:rsid w:val="00AE3CB1"/>
    <w:rsid w:val="00AE52E9"/>
    <w:rsid w:val="00AE6224"/>
    <w:rsid w:val="00AE7954"/>
    <w:rsid w:val="00AF08C5"/>
    <w:rsid w:val="00AF09E0"/>
    <w:rsid w:val="00AF160F"/>
    <w:rsid w:val="00AF1FA0"/>
    <w:rsid w:val="00AF3909"/>
    <w:rsid w:val="00AF5A3E"/>
    <w:rsid w:val="00AF7176"/>
    <w:rsid w:val="00AF736B"/>
    <w:rsid w:val="00B0080A"/>
    <w:rsid w:val="00B01908"/>
    <w:rsid w:val="00B01A6E"/>
    <w:rsid w:val="00B0311B"/>
    <w:rsid w:val="00B03463"/>
    <w:rsid w:val="00B034EA"/>
    <w:rsid w:val="00B03862"/>
    <w:rsid w:val="00B03C20"/>
    <w:rsid w:val="00B03C91"/>
    <w:rsid w:val="00B074FA"/>
    <w:rsid w:val="00B1039B"/>
    <w:rsid w:val="00B10611"/>
    <w:rsid w:val="00B10EAF"/>
    <w:rsid w:val="00B1198A"/>
    <w:rsid w:val="00B11A91"/>
    <w:rsid w:val="00B12E11"/>
    <w:rsid w:val="00B13090"/>
    <w:rsid w:val="00B13498"/>
    <w:rsid w:val="00B13BD7"/>
    <w:rsid w:val="00B1529B"/>
    <w:rsid w:val="00B152A5"/>
    <w:rsid w:val="00B17BE3"/>
    <w:rsid w:val="00B23A1C"/>
    <w:rsid w:val="00B23D9A"/>
    <w:rsid w:val="00B266CF"/>
    <w:rsid w:val="00B3080B"/>
    <w:rsid w:val="00B309E6"/>
    <w:rsid w:val="00B30E05"/>
    <w:rsid w:val="00B31B3B"/>
    <w:rsid w:val="00B32FFF"/>
    <w:rsid w:val="00B33943"/>
    <w:rsid w:val="00B339DF"/>
    <w:rsid w:val="00B34436"/>
    <w:rsid w:val="00B34CEE"/>
    <w:rsid w:val="00B36B7C"/>
    <w:rsid w:val="00B37D3D"/>
    <w:rsid w:val="00B41260"/>
    <w:rsid w:val="00B41D66"/>
    <w:rsid w:val="00B421A8"/>
    <w:rsid w:val="00B42456"/>
    <w:rsid w:val="00B42A67"/>
    <w:rsid w:val="00B43BF6"/>
    <w:rsid w:val="00B4488F"/>
    <w:rsid w:val="00B44C34"/>
    <w:rsid w:val="00B4582E"/>
    <w:rsid w:val="00B46AA3"/>
    <w:rsid w:val="00B46BBD"/>
    <w:rsid w:val="00B46EB6"/>
    <w:rsid w:val="00B47353"/>
    <w:rsid w:val="00B50D18"/>
    <w:rsid w:val="00B50EB3"/>
    <w:rsid w:val="00B51EFD"/>
    <w:rsid w:val="00B5414D"/>
    <w:rsid w:val="00B54C67"/>
    <w:rsid w:val="00B56734"/>
    <w:rsid w:val="00B5731C"/>
    <w:rsid w:val="00B5765F"/>
    <w:rsid w:val="00B5776E"/>
    <w:rsid w:val="00B577EE"/>
    <w:rsid w:val="00B57A9E"/>
    <w:rsid w:val="00B57E93"/>
    <w:rsid w:val="00B60B16"/>
    <w:rsid w:val="00B61E11"/>
    <w:rsid w:val="00B620BA"/>
    <w:rsid w:val="00B626B2"/>
    <w:rsid w:val="00B62EC0"/>
    <w:rsid w:val="00B63E23"/>
    <w:rsid w:val="00B64FF9"/>
    <w:rsid w:val="00B66F0C"/>
    <w:rsid w:val="00B6705E"/>
    <w:rsid w:val="00B67A7A"/>
    <w:rsid w:val="00B700C0"/>
    <w:rsid w:val="00B71441"/>
    <w:rsid w:val="00B730E0"/>
    <w:rsid w:val="00B742C5"/>
    <w:rsid w:val="00B7431A"/>
    <w:rsid w:val="00B74CC4"/>
    <w:rsid w:val="00B7535C"/>
    <w:rsid w:val="00B75E98"/>
    <w:rsid w:val="00B76365"/>
    <w:rsid w:val="00B7710E"/>
    <w:rsid w:val="00B771F4"/>
    <w:rsid w:val="00B77648"/>
    <w:rsid w:val="00B77AC1"/>
    <w:rsid w:val="00B8018F"/>
    <w:rsid w:val="00B806AF"/>
    <w:rsid w:val="00B81031"/>
    <w:rsid w:val="00B81E81"/>
    <w:rsid w:val="00B82082"/>
    <w:rsid w:val="00B82192"/>
    <w:rsid w:val="00B8258E"/>
    <w:rsid w:val="00B83094"/>
    <w:rsid w:val="00B84866"/>
    <w:rsid w:val="00B8665C"/>
    <w:rsid w:val="00B87329"/>
    <w:rsid w:val="00B873FA"/>
    <w:rsid w:val="00B90B64"/>
    <w:rsid w:val="00B948FE"/>
    <w:rsid w:val="00B9597A"/>
    <w:rsid w:val="00BA03E8"/>
    <w:rsid w:val="00BA1509"/>
    <w:rsid w:val="00BA1E6F"/>
    <w:rsid w:val="00BA2580"/>
    <w:rsid w:val="00BA2ACC"/>
    <w:rsid w:val="00BA3C35"/>
    <w:rsid w:val="00BA3D70"/>
    <w:rsid w:val="00BA5AAE"/>
    <w:rsid w:val="00BA5DA7"/>
    <w:rsid w:val="00BA6BD7"/>
    <w:rsid w:val="00BA7800"/>
    <w:rsid w:val="00BB0218"/>
    <w:rsid w:val="00BB26EE"/>
    <w:rsid w:val="00BB5D28"/>
    <w:rsid w:val="00BB748A"/>
    <w:rsid w:val="00BC06F3"/>
    <w:rsid w:val="00BC145E"/>
    <w:rsid w:val="00BC1548"/>
    <w:rsid w:val="00BC2027"/>
    <w:rsid w:val="00BC60A9"/>
    <w:rsid w:val="00BC656E"/>
    <w:rsid w:val="00BD00CB"/>
    <w:rsid w:val="00BD135E"/>
    <w:rsid w:val="00BD14B6"/>
    <w:rsid w:val="00BD36AC"/>
    <w:rsid w:val="00BD38B8"/>
    <w:rsid w:val="00BD4FDA"/>
    <w:rsid w:val="00BD5582"/>
    <w:rsid w:val="00BD615B"/>
    <w:rsid w:val="00BD6238"/>
    <w:rsid w:val="00BD64CD"/>
    <w:rsid w:val="00BD7D55"/>
    <w:rsid w:val="00BE3506"/>
    <w:rsid w:val="00BE3A19"/>
    <w:rsid w:val="00BE3ED0"/>
    <w:rsid w:val="00BE464C"/>
    <w:rsid w:val="00BE4667"/>
    <w:rsid w:val="00BE4AE0"/>
    <w:rsid w:val="00BE579C"/>
    <w:rsid w:val="00BE58FA"/>
    <w:rsid w:val="00BE5D90"/>
    <w:rsid w:val="00BE60E7"/>
    <w:rsid w:val="00BE7FBB"/>
    <w:rsid w:val="00BF0D5B"/>
    <w:rsid w:val="00BF0F53"/>
    <w:rsid w:val="00BF1326"/>
    <w:rsid w:val="00BF13C0"/>
    <w:rsid w:val="00BF2423"/>
    <w:rsid w:val="00BF2C2B"/>
    <w:rsid w:val="00BF317E"/>
    <w:rsid w:val="00BF4424"/>
    <w:rsid w:val="00BF5624"/>
    <w:rsid w:val="00C0018B"/>
    <w:rsid w:val="00C0079F"/>
    <w:rsid w:val="00C01226"/>
    <w:rsid w:val="00C018CA"/>
    <w:rsid w:val="00C02F9C"/>
    <w:rsid w:val="00C03259"/>
    <w:rsid w:val="00C0379D"/>
    <w:rsid w:val="00C046D8"/>
    <w:rsid w:val="00C04918"/>
    <w:rsid w:val="00C04922"/>
    <w:rsid w:val="00C06347"/>
    <w:rsid w:val="00C07180"/>
    <w:rsid w:val="00C07400"/>
    <w:rsid w:val="00C077AE"/>
    <w:rsid w:val="00C106ED"/>
    <w:rsid w:val="00C10F3D"/>
    <w:rsid w:val="00C11139"/>
    <w:rsid w:val="00C12490"/>
    <w:rsid w:val="00C13502"/>
    <w:rsid w:val="00C14EDE"/>
    <w:rsid w:val="00C15476"/>
    <w:rsid w:val="00C15E3E"/>
    <w:rsid w:val="00C167C0"/>
    <w:rsid w:val="00C16F36"/>
    <w:rsid w:val="00C173DD"/>
    <w:rsid w:val="00C2006C"/>
    <w:rsid w:val="00C20362"/>
    <w:rsid w:val="00C20422"/>
    <w:rsid w:val="00C209CC"/>
    <w:rsid w:val="00C20F64"/>
    <w:rsid w:val="00C2101D"/>
    <w:rsid w:val="00C24A0E"/>
    <w:rsid w:val="00C24D3D"/>
    <w:rsid w:val="00C25D14"/>
    <w:rsid w:val="00C25E9E"/>
    <w:rsid w:val="00C26D9F"/>
    <w:rsid w:val="00C27509"/>
    <w:rsid w:val="00C27A97"/>
    <w:rsid w:val="00C321B6"/>
    <w:rsid w:val="00C32210"/>
    <w:rsid w:val="00C32C9F"/>
    <w:rsid w:val="00C335DC"/>
    <w:rsid w:val="00C34AB4"/>
    <w:rsid w:val="00C35068"/>
    <w:rsid w:val="00C36C90"/>
    <w:rsid w:val="00C37D44"/>
    <w:rsid w:val="00C37EB6"/>
    <w:rsid w:val="00C40525"/>
    <w:rsid w:val="00C41827"/>
    <w:rsid w:val="00C41DD3"/>
    <w:rsid w:val="00C423C7"/>
    <w:rsid w:val="00C42CBF"/>
    <w:rsid w:val="00C42E15"/>
    <w:rsid w:val="00C435D1"/>
    <w:rsid w:val="00C44097"/>
    <w:rsid w:val="00C45314"/>
    <w:rsid w:val="00C455FE"/>
    <w:rsid w:val="00C45E22"/>
    <w:rsid w:val="00C46958"/>
    <w:rsid w:val="00C4749C"/>
    <w:rsid w:val="00C4763C"/>
    <w:rsid w:val="00C50C61"/>
    <w:rsid w:val="00C511EA"/>
    <w:rsid w:val="00C5204F"/>
    <w:rsid w:val="00C521F6"/>
    <w:rsid w:val="00C5395C"/>
    <w:rsid w:val="00C53F6D"/>
    <w:rsid w:val="00C61A53"/>
    <w:rsid w:val="00C61BC1"/>
    <w:rsid w:val="00C62FA2"/>
    <w:rsid w:val="00C63C83"/>
    <w:rsid w:val="00C63DB3"/>
    <w:rsid w:val="00C64952"/>
    <w:rsid w:val="00C664C1"/>
    <w:rsid w:val="00C70723"/>
    <w:rsid w:val="00C70E02"/>
    <w:rsid w:val="00C7150A"/>
    <w:rsid w:val="00C726A6"/>
    <w:rsid w:val="00C72780"/>
    <w:rsid w:val="00C7294F"/>
    <w:rsid w:val="00C73597"/>
    <w:rsid w:val="00C737CF"/>
    <w:rsid w:val="00C73B97"/>
    <w:rsid w:val="00C73BB2"/>
    <w:rsid w:val="00C749F9"/>
    <w:rsid w:val="00C758A9"/>
    <w:rsid w:val="00C76A95"/>
    <w:rsid w:val="00C8173B"/>
    <w:rsid w:val="00C81B47"/>
    <w:rsid w:val="00C83331"/>
    <w:rsid w:val="00C833E0"/>
    <w:rsid w:val="00C836BA"/>
    <w:rsid w:val="00C84204"/>
    <w:rsid w:val="00C84780"/>
    <w:rsid w:val="00C850DA"/>
    <w:rsid w:val="00C8511B"/>
    <w:rsid w:val="00C8565F"/>
    <w:rsid w:val="00C876BB"/>
    <w:rsid w:val="00C90763"/>
    <w:rsid w:val="00C92074"/>
    <w:rsid w:val="00C929BB"/>
    <w:rsid w:val="00CA0298"/>
    <w:rsid w:val="00CA14B8"/>
    <w:rsid w:val="00CA35AB"/>
    <w:rsid w:val="00CA41AF"/>
    <w:rsid w:val="00CA48EF"/>
    <w:rsid w:val="00CA4AA5"/>
    <w:rsid w:val="00CA50D2"/>
    <w:rsid w:val="00CA5BB3"/>
    <w:rsid w:val="00CB05BE"/>
    <w:rsid w:val="00CB07F6"/>
    <w:rsid w:val="00CB141A"/>
    <w:rsid w:val="00CB19B3"/>
    <w:rsid w:val="00CB1EEB"/>
    <w:rsid w:val="00CB2871"/>
    <w:rsid w:val="00CB2DFE"/>
    <w:rsid w:val="00CB3659"/>
    <w:rsid w:val="00CB6778"/>
    <w:rsid w:val="00CB7CC9"/>
    <w:rsid w:val="00CC1120"/>
    <w:rsid w:val="00CC11D3"/>
    <w:rsid w:val="00CC2238"/>
    <w:rsid w:val="00CC322A"/>
    <w:rsid w:val="00CC3861"/>
    <w:rsid w:val="00CC3949"/>
    <w:rsid w:val="00CD0DF9"/>
    <w:rsid w:val="00CD136C"/>
    <w:rsid w:val="00CD4BC2"/>
    <w:rsid w:val="00CD6B41"/>
    <w:rsid w:val="00CD7B49"/>
    <w:rsid w:val="00CD7C25"/>
    <w:rsid w:val="00CE024B"/>
    <w:rsid w:val="00CE04D4"/>
    <w:rsid w:val="00CE0DAD"/>
    <w:rsid w:val="00CE2DB0"/>
    <w:rsid w:val="00CE2E76"/>
    <w:rsid w:val="00CE3657"/>
    <w:rsid w:val="00CE48C9"/>
    <w:rsid w:val="00CE57A9"/>
    <w:rsid w:val="00CE5EF9"/>
    <w:rsid w:val="00CE62DF"/>
    <w:rsid w:val="00CF07C1"/>
    <w:rsid w:val="00CF0E0F"/>
    <w:rsid w:val="00CF23C0"/>
    <w:rsid w:val="00CF458C"/>
    <w:rsid w:val="00CF5255"/>
    <w:rsid w:val="00CF6343"/>
    <w:rsid w:val="00CF6F9C"/>
    <w:rsid w:val="00D00233"/>
    <w:rsid w:val="00D02A43"/>
    <w:rsid w:val="00D030AA"/>
    <w:rsid w:val="00D04762"/>
    <w:rsid w:val="00D06FEA"/>
    <w:rsid w:val="00D0753F"/>
    <w:rsid w:val="00D07FB7"/>
    <w:rsid w:val="00D11847"/>
    <w:rsid w:val="00D11ABC"/>
    <w:rsid w:val="00D11B7D"/>
    <w:rsid w:val="00D1229E"/>
    <w:rsid w:val="00D144BB"/>
    <w:rsid w:val="00D15E48"/>
    <w:rsid w:val="00D1669A"/>
    <w:rsid w:val="00D16EAC"/>
    <w:rsid w:val="00D16F0F"/>
    <w:rsid w:val="00D16FE4"/>
    <w:rsid w:val="00D17B70"/>
    <w:rsid w:val="00D206C3"/>
    <w:rsid w:val="00D20B9E"/>
    <w:rsid w:val="00D21215"/>
    <w:rsid w:val="00D217E9"/>
    <w:rsid w:val="00D226E9"/>
    <w:rsid w:val="00D23B44"/>
    <w:rsid w:val="00D247F3"/>
    <w:rsid w:val="00D25AA3"/>
    <w:rsid w:val="00D269D5"/>
    <w:rsid w:val="00D26EFE"/>
    <w:rsid w:val="00D3095B"/>
    <w:rsid w:val="00D314E7"/>
    <w:rsid w:val="00D32851"/>
    <w:rsid w:val="00D33058"/>
    <w:rsid w:val="00D34027"/>
    <w:rsid w:val="00D3437F"/>
    <w:rsid w:val="00D34452"/>
    <w:rsid w:val="00D35327"/>
    <w:rsid w:val="00D359F9"/>
    <w:rsid w:val="00D35D35"/>
    <w:rsid w:val="00D36839"/>
    <w:rsid w:val="00D374FB"/>
    <w:rsid w:val="00D37D15"/>
    <w:rsid w:val="00D4028D"/>
    <w:rsid w:val="00D4046D"/>
    <w:rsid w:val="00D419F7"/>
    <w:rsid w:val="00D41F62"/>
    <w:rsid w:val="00D430C4"/>
    <w:rsid w:val="00D44F39"/>
    <w:rsid w:val="00D46758"/>
    <w:rsid w:val="00D4780F"/>
    <w:rsid w:val="00D52179"/>
    <w:rsid w:val="00D524B7"/>
    <w:rsid w:val="00D526CA"/>
    <w:rsid w:val="00D52D4D"/>
    <w:rsid w:val="00D532B0"/>
    <w:rsid w:val="00D53C92"/>
    <w:rsid w:val="00D570CC"/>
    <w:rsid w:val="00D57C92"/>
    <w:rsid w:val="00D57DA0"/>
    <w:rsid w:val="00D57DA7"/>
    <w:rsid w:val="00D57F1D"/>
    <w:rsid w:val="00D60081"/>
    <w:rsid w:val="00D60BE8"/>
    <w:rsid w:val="00D61401"/>
    <w:rsid w:val="00D61628"/>
    <w:rsid w:val="00D62366"/>
    <w:rsid w:val="00D63D4E"/>
    <w:rsid w:val="00D63DD9"/>
    <w:rsid w:val="00D672DA"/>
    <w:rsid w:val="00D67F88"/>
    <w:rsid w:val="00D73E84"/>
    <w:rsid w:val="00D74C05"/>
    <w:rsid w:val="00D771DD"/>
    <w:rsid w:val="00D7732A"/>
    <w:rsid w:val="00D774F5"/>
    <w:rsid w:val="00D77B08"/>
    <w:rsid w:val="00D8043C"/>
    <w:rsid w:val="00D81652"/>
    <w:rsid w:val="00D819FD"/>
    <w:rsid w:val="00D82982"/>
    <w:rsid w:val="00D8425B"/>
    <w:rsid w:val="00D8458D"/>
    <w:rsid w:val="00D85D89"/>
    <w:rsid w:val="00D8734F"/>
    <w:rsid w:val="00D877ED"/>
    <w:rsid w:val="00D9017C"/>
    <w:rsid w:val="00D90361"/>
    <w:rsid w:val="00D90453"/>
    <w:rsid w:val="00D91AE4"/>
    <w:rsid w:val="00D91B4A"/>
    <w:rsid w:val="00D92139"/>
    <w:rsid w:val="00D93D6B"/>
    <w:rsid w:val="00D94BCD"/>
    <w:rsid w:val="00D94DAA"/>
    <w:rsid w:val="00D95143"/>
    <w:rsid w:val="00D96D4F"/>
    <w:rsid w:val="00D97433"/>
    <w:rsid w:val="00D97B53"/>
    <w:rsid w:val="00DA160F"/>
    <w:rsid w:val="00DA1A62"/>
    <w:rsid w:val="00DA1EF2"/>
    <w:rsid w:val="00DA1F88"/>
    <w:rsid w:val="00DA32E1"/>
    <w:rsid w:val="00DA3869"/>
    <w:rsid w:val="00DA45F7"/>
    <w:rsid w:val="00DA5873"/>
    <w:rsid w:val="00DA7D1B"/>
    <w:rsid w:val="00DB0123"/>
    <w:rsid w:val="00DB12A3"/>
    <w:rsid w:val="00DB162F"/>
    <w:rsid w:val="00DB1E21"/>
    <w:rsid w:val="00DB3C5A"/>
    <w:rsid w:val="00DB3EA0"/>
    <w:rsid w:val="00DB599B"/>
    <w:rsid w:val="00DB6221"/>
    <w:rsid w:val="00DB700A"/>
    <w:rsid w:val="00DB72CC"/>
    <w:rsid w:val="00DC0465"/>
    <w:rsid w:val="00DC0F5F"/>
    <w:rsid w:val="00DC23DA"/>
    <w:rsid w:val="00DC2FF5"/>
    <w:rsid w:val="00DC37F6"/>
    <w:rsid w:val="00DC3DF1"/>
    <w:rsid w:val="00DC3E51"/>
    <w:rsid w:val="00DC57BB"/>
    <w:rsid w:val="00DC5A38"/>
    <w:rsid w:val="00DC681A"/>
    <w:rsid w:val="00DC6F00"/>
    <w:rsid w:val="00DC776D"/>
    <w:rsid w:val="00DD5AF3"/>
    <w:rsid w:val="00DD60C1"/>
    <w:rsid w:val="00DD60C9"/>
    <w:rsid w:val="00DD7070"/>
    <w:rsid w:val="00DE0F87"/>
    <w:rsid w:val="00DE1A02"/>
    <w:rsid w:val="00DE2472"/>
    <w:rsid w:val="00DE323E"/>
    <w:rsid w:val="00DE3304"/>
    <w:rsid w:val="00DE4FC7"/>
    <w:rsid w:val="00DE5CF2"/>
    <w:rsid w:val="00DE75C1"/>
    <w:rsid w:val="00DE7925"/>
    <w:rsid w:val="00DE79C5"/>
    <w:rsid w:val="00DF00DD"/>
    <w:rsid w:val="00DF23CA"/>
    <w:rsid w:val="00DF30B6"/>
    <w:rsid w:val="00DF33F9"/>
    <w:rsid w:val="00DF402B"/>
    <w:rsid w:val="00DF5443"/>
    <w:rsid w:val="00DF56C0"/>
    <w:rsid w:val="00DF7392"/>
    <w:rsid w:val="00E00B28"/>
    <w:rsid w:val="00E0103F"/>
    <w:rsid w:val="00E01211"/>
    <w:rsid w:val="00E026E1"/>
    <w:rsid w:val="00E03488"/>
    <w:rsid w:val="00E041A6"/>
    <w:rsid w:val="00E047B3"/>
    <w:rsid w:val="00E0575D"/>
    <w:rsid w:val="00E05D92"/>
    <w:rsid w:val="00E064E2"/>
    <w:rsid w:val="00E07A1B"/>
    <w:rsid w:val="00E111C8"/>
    <w:rsid w:val="00E1218D"/>
    <w:rsid w:val="00E1306C"/>
    <w:rsid w:val="00E157B3"/>
    <w:rsid w:val="00E1652E"/>
    <w:rsid w:val="00E16916"/>
    <w:rsid w:val="00E1755E"/>
    <w:rsid w:val="00E17FA0"/>
    <w:rsid w:val="00E20691"/>
    <w:rsid w:val="00E20D25"/>
    <w:rsid w:val="00E211BA"/>
    <w:rsid w:val="00E228A1"/>
    <w:rsid w:val="00E22A4E"/>
    <w:rsid w:val="00E2311D"/>
    <w:rsid w:val="00E23276"/>
    <w:rsid w:val="00E23F84"/>
    <w:rsid w:val="00E24517"/>
    <w:rsid w:val="00E25E1B"/>
    <w:rsid w:val="00E267F7"/>
    <w:rsid w:val="00E26A0A"/>
    <w:rsid w:val="00E27C0F"/>
    <w:rsid w:val="00E27C3D"/>
    <w:rsid w:val="00E305B1"/>
    <w:rsid w:val="00E309AA"/>
    <w:rsid w:val="00E3146D"/>
    <w:rsid w:val="00E31712"/>
    <w:rsid w:val="00E318B7"/>
    <w:rsid w:val="00E319D3"/>
    <w:rsid w:val="00E33085"/>
    <w:rsid w:val="00E33467"/>
    <w:rsid w:val="00E34821"/>
    <w:rsid w:val="00E34C82"/>
    <w:rsid w:val="00E357EB"/>
    <w:rsid w:val="00E35804"/>
    <w:rsid w:val="00E362E6"/>
    <w:rsid w:val="00E367E7"/>
    <w:rsid w:val="00E36C61"/>
    <w:rsid w:val="00E37D4D"/>
    <w:rsid w:val="00E40184"/>
    <w:rsid w:val="00E40CAC"/>
    <w:rsid w:val="00E43E7F"/>
    <w:rsid w:val="00E44944"/>
    <w:rsid w:val="00E45750"/>
    <w:rsid w:val="00E47800"/>
    <w:rsid w:val="00E503C5"/>
    <w:rsid w:val="00E50829"/>
    <w:rsid w:val="00E50CDD"/>
    <w:rsid w:val="00E523DC"/>
    <w:rsid w:val="00E54038"/>
    <w:rsid w:val="00E55396"/>
    <w:rsid w:val="00E55B15"/>
    <w:rsid w:val="00E56B63"/>
    <w:rsid w:val="00E5739F"/>
    <w:rsid w:val="00E57717"/>
    <w:rsid w:val="00E600DA"/>
    <w:rsid w:val="00E60701"/>
    <w:rsid w:val="00E61A45"/>
    <w:rsid w:val="00E61CE9"/>
    <w:rsid w:val="00E62711"/>
    <w:rsid w:val="00E6304F"/>
    <w:rsid w:val="00E6341D"/>
    <w:rsid w:val="00E63ADF"/>
    <w:rsid w:val="00E64EC8"/>
    <w:rsid w:val="00E6753B"/>
    <w:rsid w:val="00E67E23"/>
    <w:rsid w:val="00E70074"/>
    <w:rsid w:val="00E70B8E"/>
    <w:rsid w:val="00E70C74"/>
    <w:rsid w:val="00E71367"/>
    <w:rsid w:val="00E72660"/>
    <w:rsid w:val="00E742A8"/>
    <w:rsid w:val="00E74D01"/>
    <w:rsid w:val="00E75718"/>
    <w:rsid w:val="00E7575E"/>
    <w:rsid w:val="00E76676"/>
    <w:rsid w:val="00E80D4B"/>
    <w:rsid w:val="00E83E8D"/>
    <w:rsid w:val="00E8544C"/>
    <w:rsid w:val="00E85555"/>
    <w:rsid w:val="00E861AB"/>
    <w:rsid w:val="00E86866"/>
    <w:rsid w:val="00E8780B"/>
    <w:rsid w:val="00E87C19"/>
    <w:rsid w:val="00E87CB0"/>
    <w:rsid w:val="00E9023B"/>
    <w:rsid w:val="00E90439"/>
    <w:rsid w:val="00E91044"/>
    <w:rsid w:val="00E91E11"/>
    <w:rsid w:val="00E9245C"/>
    <w:rsid w:val="00E93EBA"/>
    <w:rsid w:val="00E948FB"/>
    <w:rsid w:val="00E96866"/>
    <w:rsid w:val="00EA2125"/>
    <w:rsid w:val="00EA236B"/>
    <w:rsid w:val="00EA24E4"/>
    <w:rsid w:val="00EA5B86"/>
    <w:rsid w:val="00EA6047"/>
    <w:rsid w:val="00EA6227"/>
    <w:rsid w:val="00EA6A3E"/>
    <w:rsid w:val="00EA787D"/>
    <w:rsid w:val="00EA7F8B"/>
    <w:rsid w:val="00EB0084"/>
    <w:rsid w:val="00EB0A6E"/>
    <w:rsid w:val="00EB1271"/>
    <w:rsid w:val="00EB1285"/>
    <w:rsid w:val="00EB1523"/>
    <w:rsid w:val="00EB1E1D"/>
    <w:rsid w:val="00EB306F"/>
    <w:rsid w:val="00EB30E1"/>
    <w:rsid w:val="00EB4DBB"/>
    <w:rsid w:val="00EB51AE"/>
    <w:rsid w:val="00EB7500"/>
    <w:rsid w:val="00EB778B"/>
    <w:rsid w:val="00EB77BB"/>
    <w:rsid w:val="00EB7888"/>
    <w:rsid w:val="00EC0468"/>
    <w:rsid w:val="00EC0FC6"/>
    <w:rsid w:val="00EC23FA"/>
    <w:rsid w:val="00EC2F98"/>
    <w:rsid w:val="00EC4854"/>
    <w:rsid w:val="00EC4AD5"/>
    <w:rsid w:val="00EC50CE"/>
    <w:rsid w:val="00EC5576"/>
    <w:rsid w:val="00EC5AA3"/>
    <w:rsid w:val="00ED06D6"/>
    <w:rsid w:val="00ED0739"/>
    <w:rsid w:val="00ED3A41"/>
    <w:rsid w:val="00ED3B05"/>
    <w:rsid w:val="00ED46AA"/>
    <w:rsid w:val="00ED4A05"/>
    <w:rsid w:val="00ED6B86"/>
    <w:rsid w:val="00ED7EE3"/>
    <w:rsid w:val="00EE13DA"/>
    <w:rsid w:val="00EE1D15"/>
    <w:rsid w:val="00EE2917"/>
    <w:rsid w:val="00EE386B"/>
    <w:rsid w:val="00EE4D4E"/>
    <w:rsid w:val="00EE6120"/>
    <w:rsid w:val="00EE77A6"/>
    <w:rsid w:val="00EF01D2"/>
    <w:rsid w:val="00EF0628"/>
    <w:rsid w:val="00EF0CF4"/>
    <w:rsid w:val="00EF46FA"/>
    <w:rsid w:val="00EF4EEB"/>
    <w:rsid w:val="00EF5778"/>
    <w:rsid w:val="00EF6DEB"/>
    <w:rsid w:val="00EF7D05"/>
    <w:rsid w:val="00F00280"/>
    <w:rsid w:val="00F01740"/>
    <w:rsid w:val="00F01973"/>
    <w:rsid w:val="00F01F4E"/>
    <w:rsid w:val="00F02425"/>
    <w:rsid w:val="00F04E3D"/>
    <w:rsid w:val="00F05209"/>
    <w:rsid w:val="00F05C9E"/>
    <w:rsid w:val="00F065F4"/>
    <w:rsid w:val="00F07455"/>
    <w:rsid w:val="00F07699"/>
    <w:rsid w:val="00F11B6F"/>
    <w:rsid w:val="00F120D8"/>
    <w:rsid w:val="00F12603"/>
    <w:rsid w:val="00F1379B"/>
    <w:rsid w:val="00F1379E"/>
    <w:rsid w:val="00F13A0F"/>
    <w:rsid w:val="00F146A4"/>
    <w:rsid w:val="00F1474F"/>
    <w:rsid w:val="00F16FFD"/>
    <w:rsid w:val="00F216D3"/>
    <w:rsid w:val="00F21FCA"/>
    <w:rsid w:val="00F22100"/>
    <w:rsid w:val="00F2242B"/>
    <w:rsid w:val="00F23E74"/>
    <w:rsid w:val="00F24B6B"/>
    <w:rsid w:val="00F25127"/>
    <w:rsid w:val="00F25C14"/>
    <w:rsid w:val="00F25C38"/>
    <w:rsid w:val="00F26A6F"/>
    <w:rsid w:val="00F31315"/>
    <w:rsid w:val="00F31962"/>
    <w:rsid w:val="00F32215"/>
    <w:rsid w:val="00F322DC"/>
    <w:rsid w:val="00F32561"/>
    <w:rsid w:val="00F32617"/>
    <w:rsid w:val="00F34AAF"/>
    <w:rsid w:val="00F362FA"/>
    <w:rsid w:val="00F36A7D"/>
    <w:rsid w:val="00F37617"/>
    <w:rsid w:val="00F41E78"/>
    <w:rsid w:val="00F458BC"/>
    <w:rsid w:val="00F46FF6"/>
    <w:rsid w:val="00F47508"/>
    <w:rsid w:val="00F50783"/>
    <w:rsid w:val="00F50F49"/>
    <w:rsid w:val="00F52F37"/>
    <w:rsid w:val="00F5335B"/>
    <w:rsid w:val="00F5503B"/>
    <w:rsid w:val="00F555F7"/>
    <w:rsid w:val="00F55693"/>
    <w:rsid w:val="00F5610C"/>
    <w:rsid w:val="00F5616E"/>
    <w:rsid w:val="00F5677E"/>
    <w:rsid w:val="00F62E76"/>
    <w:rsid w:val="00F64496"/>
    <w:rsid w:val="00F64BE7"/>
    <w:rsid w:val="00F67AF8"/>
    <w:rsid w:val="00F67D02"/>
    <w:rsid w:val="00F70258"/>
    <w:rsid w:val="00F702CB"/>
    <w:rsid w:val="00F72E4D"/>
    <w:rsid w:val="00F736A5"/>
    <w:rsid w:val="00F76305"/>
    <w:rsid w:val="00F7678B"/>
    <w:rsid w:val="00F804DD"/>
    <w:rsid w:val="00F810CB"/>
    <w:rsid w:val="00F82BE2"/>
    <w:rsid w:val="00F86B78"/>
    <w:rsid w:val="00F877B5"/>
    <w:rsid w:val="00F9002B"/>
    <w:rsid w:val="00F90799"/>
    <w:rsid w:val="00F93B4E"/>
    <w:rsid w:val="00F95B4D"/>
    <w:rsid w:val="00F96DEF"/>
    <w:rsid w:val="00F97A0B"/>
    <w:rsid w:val="00F97C27"/>
    <w:rsid w:val="00F97E92"/>
    <w:rsid w:val="00FA0657"/>
    <w:rsid w:val="00FA0A3C"/>
    <w:rsid w:val="00FA212F"/>
    <w:rsid w:val="00FA289F"/>
    <w:rsid w:val="00FA6539"/>
    <w:rsid w:val="00FA7C13"/>
    <w:rsid w:val="00FB2804"/>
    <w:rsid w:val="00FB2A72"/>
    <w:rsid w:val="00FB31E1"/>
    <w:rsid w:val="00FB4425"/>
    <w:rsid w:val="00FB6D40"/>
    <w:rsid w:val="00FB7520"/>
    <w:rsid w:val="00FB75E5"/>
    <w:rsid w:val="00FB7CBA"/>
    <w:rsid w:val="00FC1251"/>
    <w:rsid w:val="00FC2464"/>
    <w:rsid w:val="00FC464F"/>
    <w:rsid w:val="00FC4745"/>
    <w:rsid w:val="00FC59D3"/>
    <w:rsid w:val="00FC5DF5"/>
    <w:rsid w:val="00FD0C65"/>
    <w:rsid w:val="00FD1024"/>
    <w:rsid w:val="00FD1D59"/>
    <w:rsid w:val="00FD284C"/>
    <w:rsid w:val="00FD2D81"/>
    <w:rsid w:val="00FD2E52"/>
    <w:rsid w:val="00FD45FE"/>
    <w:rsid w:val="00FD4F32"/>
    <w:rsid w:val="00FD6341"/>
    <w:rsid w:val="00FD66BD"/>
    <w:rsid w:val="00FD7160"/>
    <w:rsid w:val="00FE1263"/>
    <w:rsid w:val="00FE1682"/>
    <w:rsid w:val="00FE1945"/>
    <w:rsid w:val="00FE22B8"/>
    <w:rsid w:val="00FE2CF5"/>
    <w:rsid w:val="00FE31EA"/>
    <w:rsid w:val="00FE4CE7"/>
    <w:rsid w:val="00FE53DD"/>
    <w:rsid w:val="00FE53F5"/>
    <w:rsid w:val="00FE58B7"/>
    <w:rsid w:val="00FE7D2A"/>
    <w:rsid w:val="00FF1410"/>
    <w:rsid w:val="00FF1C85"/>
    <w:rsid w:val="00FF21DA"/>
    <w:rsid w:val="00FF21E8"/>
    <w:rsid w:val="00FF28A9"/>
    <w:rsid w:val="00FF2B7E"/>
    <w:rsid w:val="00FF2BD1"/>
    <w:rsid w:val="00FF4C9B"/>
    <w:rsid w:val="00FF596D"/>
    <w:rsid w:val="00FF5DF8"/>
    <w:rsid w:val="00FF60AC"/>
    <w:rsid w:val="00FF63D1"/>
    <w:rsid w:val="00FF7FBE"/>
    <w:rsid w:val="03E82611"/>
    <w:rsid w:val="0C13F739"/>
    <w:rsid w:val="0C6F1B41"/>
    <w:rsid w:val="0DCBD24A"/>
    <w:rsid w:val="1EDEA46D"/>
    <w:rsid w:val="1F47BACD"/>
    <w:rsid w:val="2C2FBC87"/>
    <w:rsid w:val="34226A92"/>
    <w:rsid w:val="368B303B"/>
    <w:rsid w:val="3997A780"/>
    <w:rsid w:val="44B76F9B"/>
    <w:rsid w:val="496260AE"/>
    <w:rsid w:val="4DD09DF1"/>
    <w:rsid w:val="517244A7"/>
    <w:rsid w:val="540B3A79"/>
    <w:rsid w:val="57199109"/>
    <w:rsid w:val="582FBE34"/>
    <w:rsid w:val="5B40E248"/>
    <w:rsid w:val="61C0CF2C"/>
    <w:rsid w:val="61D8E108"/>
    <w:rsid w:val="653453FF"/>
    <w:rsid w:val="6796D029"/>
    <w:rsid w:val="6C9F07E8"/>
    <w:rsid w:val="70E80950"/>
    <w:rsid w:val="75684480"/>
    <w:rsid w:val="7C1DC5F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0B38B9"/>
  <w15:docId w15:val="{8577718F-8736-4917-879D-507267337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2" w:qFormat="1"/>
    <w:lsdException w:name="heading 3" w:qFormat="1"/>
    <w:lsdException w:name="heading 4" w:qFormat="1"/>
    <w:lsdException w:name="heading 5" w:semiHidden="1" w:unhideWhenUsed="1" w:qFormat="1"/>
    <w:lsdException w:name="heading 6" w:semiHidden="1" w:unhideWhenUsed="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Bullet" w:semiHidden="1" w:unhideWhenUsed="1" w:qFormat="1"/>
    <w:lsdException w:name="List Number" w:semiHidden="1" w:uiPriority="99" w:unhideWhenUsed="1"/>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semiHidden="1" w:uiPriority="99" w:unhideWhenUsed="1"/>
    <w:lsdException w:name="Title" w:uiPriority="99"/>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locked="1"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99"/>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99"/>
    <w:qFormat/>
    <w:rsid w:val="003E5C23"/>
    <w:pPr>
      <w:spacing w:before="180" w:after="60"/>
    </w:pPr>
    <w:rPr>
      <w:rFonts w:ascii="Century Gothic" w:hAnsi="Century Gothic"/>
      <w:color w:val="000000" w:themeColor="text1"/>
      <w:sz w:val="22"/>
      <w:szCs w:val="22"/>
      <w:lang w:eastAsia="en-GB"/>
    </w:rPr>
  </w:style>
  <w:style w:type="paragraph" w:styleId="Heading1">
    <w:name w:val="heading 1"/>
    <w:aliases w:val="CS IBM-Heading 1"/>
    <w:basedOn w:val="Normal"/>
    <w:next w:val="CS-IBMResponseText"/>
    <w:autoRedefine/>
    <w:uiPriority w:val="99"/>
    <w:rsid w:val="00F01F4E"/>
    <w:pPr>
      <w:keepNext/>
      <w:pageBreakBefore/>
      <w:numPr>
        <w:numId w:val="23"/>
      </w:numPr>
      <w:tabs>
        <w:tab w:val="left" w:pos="0"/>
        <w:tab w:val="left" w:pos="720"/>
      </w:tabs>
      <w:spacing w:before="0" w:after="240"/>
      <w:jc w:val="center"/>
      <w:outlineLvl w:val="0"/>
    </w:pPr>
    <w:rPr>
      <w:rFonts w:cs="Arial"/>
      <w:b/>
      <w:color w:val="0070C0"/>
      <w:sz w:val="44"/>
      <w:szCs w:val="48"/>
    </w:rPr>
  </w:style>
  <w:style w:type="paragraph" w:styleId="Heading2">
    <w:name w:val="heading 2"/>
    <w:aliases w:val="CS IBM-Heading 2"/>
    <w:basedOn w:val="Normal"/>
    <w:next w:val="CS-IBMResponseText"/>
    <w:uiPriority w:val="99"/>
    <w:qFormat/>
    <w:rsid w:val="003E58D5"/>
    <w:pPr>
      <w:keepNext/>
      <w:numPr>
        <w:ilvl w:val="1"/>
        <w:numId w:val="23"/>
      </w:numPr>
      <w:tabs>
        <w:tab w:val="left" w:pos="0"/>
        <w:tab w:val="left" w:pos="720"/>
      </w:tabs>
      <w:spacing w:before="300" w:after="120"/>
      <w:jc w:val="both"/>
      <w:outlineLvl w:val="1"/>
    </w:pPr>
    <w:rPr>
      <w:rFonts w:cs="Arial"/>
      <w:color w:val="008BFF"/>
      <w:sz w:val="36"/>
      <w:szCs w:val="40"/>
    </w:rPr>
  </w:style>
  <w:style w:type="paragraph" w:styleId="Heading3">
    <w:name w:val="heading 3"/>
    <w:aliases w:val="CS IBM-Heading 3"/>
    <w:basedOn w:val="CS-IBMResponseText"/>
    <w:next w:val="CS-IBMResponseText"/>
    <w:uiPriority w:val="99"/>
    <w:qFormat/>
    <w:rsid w:val="00C12490"/>
    <w:pPr>
      <w:outlineLvl w:val="2"/>
    </w:pPr>
    <w:rPr>
      <w:b/>
      <w:noProof/>
      <w:color w:val="0070C0"/>
      <w:sz w:val="32"/>
      <w:szCs w:val="32"/>
    </w:rPr>
  </w:style>
  <w:style w:type="paragraph" w:styleId="Heading4">
    <w:name w:val="heading 4"/>
    <w:aliases w:val="CS IBM-Heading 4"/>
    <w:basedOn w:val="Normal"/>
    <w:next w:val="CS-IBMResponseText"/>
    <w:uiPriority w:val="99"/>
    <w:qFormat/>
    <w:rsid w:val="00AB54BB"/>
    <w:pPr>
      <w:keepNext/>
      <w:tabs>
        <w:tab w:val="left" w:pos="0"/>
        <w:tab w:val="left" w:pos="720"/>
      </w:tabs>
      <w:spacing w:before="0" w:after="120"/>
      <w:ind w:left="864" w:hanging="864"/>
      <w:jc w:val="both"/>
      <w:outlineLvl w:val="3"/>
    </w:pPr>
    <w:rPr>
      <w:rFonts w:eastAsia="IBM Plex Sans" w:cs="Arial"/>
      <w:b/>
      <w:color w:val="0070C0"/>
      <w:sz w:val="24"/>
    </w:rPr>
  </w:style>
  <w:style w:type="paragraph" w:styleId="Heading5">
    <w:name w:val="heading 5"/>
    <w:basedOn w:val="Normal"/>
    <w:next w:val="Normal"/>
    <w:uiPriority w:val="99"/>
    <w:qFormat/>
    <w:rsid w:val="00A56FE9"/>
    <w:pPr>
      <w:numPr>
        <w:ilvl w:val="4"/>
        <w:numId w:val="23"/>
      </w:numPr>
      <w:spacing w:before="300" w:after="120"/>
      <w:jc w:val="both"/>
      <w:outlineLvl w:val="4"/>
    </w:pPr>
    <w:rPr>
      <w:rFonts w:ascii="IBM Plex Sans" w:hAnsi="IBM Plex Sans" w:cs="Arial"/>
      <w:b/>
      <w:color w:val="808080" w:themeColor="background1" w:themeShade="80"/>
      <w:szCs w:val="28"/>
    </w:rPr>
  </w:style>
  <w:style w:type="paragraph" w:styleId="Heading6">
    <w:name w:val="heading 6"/>
    <w:basedOn w:val="Heading5"/>
    <w:next w:val="Normal"/>
    <w:uiPriority w:val="99"/>
    <w:rsid w:val="009335A2"/>
    <w:pPr>
      <w:numPr>
        <w:ilvl w:val="5"/>
      </w:numPr>
      <w:outlineLvl w:val="5"/>
    </w:pPr>
    <w:rPr>
      <w:bCs/>
      <w:i/>
      <w:color w:val="2A0A18"/>
      <w:szCs w:val="26"/>
    </w:rPr>
  </w:style>
  <w:style w:type="paragraph" w:styleId="Heading7">
    <w:name w:val="heading 7"/>
    <w:basedOn w:val="Heading6"/>
    <w:next w:val="Normal"/>
    <w:uiPriority w:val="99"/>
    <w:qFormat/>
    <w:rsid w:val="009335A2"/>
    <w:pPr>
      <w:numPr>
        <w:ilvl w:val="6"/>
      </w:numPr>
      <w:outlineLvl w:val="6"/>
    </w:pPr>
    <w:rPr>
      <w:bCs w:val="0"/>
      <w:i w:val="0"/>
      <w:color w:val="565151"/>
      <w:szCs w:val="24"/>
      <w:u w:val="single"/>
    </w:rPr>
  </w:style>
  <w:style w:type="paragraph" w:styleId="Heading8">
    <w:name w:val="heading 8"/>
    <w:basedOn w:val="Heading7"/>
    <w:next w:val="Normal"/>
    <w:uiPriority w:val="99"/>
    <w:rsid w:val="001A372E"/>
    <w:pPr>
      <w:numPr>
        <w:ilvl w:val="7"/>
      </w:numPr>
      <w:outlineLvl w:val="7"/>
    </w:pPr>
    <w:rPr>
      <w:i/>
      <w:u w:val="none"/>
    </w:rPr>
  </w:style>
  <w:style w:type="paragraph" w:styleId="Heading9">
    <w:name w:val="heading 9"/>
    <w:basedOn w:val="Heading8"/>
    <w:next w:val="Normal"/>
    <w:uiPriority w:val="99"/>
    <w:rsid w:val="001A372E"/>
    <w:pPr>
      <w:numPr>
        <w:ilvl w:val="8"/>
      </w:numPr>
      <w:outlineLvl w:val="8"/>
    </w:pPr>
    <w:rPr>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2C48F8"/>
    <w:pPr>
      <w:numPr>
        <w:numId w:val="1"/>
      </w:numPr>
    </w:pPr>
  </w:style>
  <w:style w:type="paragraph" w:customStyle="1" w:styleId="CS-IBMTemplateStyleGuidedonotuseforresponse">
    <w:name w:val="CS-IBM Template Style Guide (do not use for response)"/>
    <w:basedOn w:val="CS-IBMResponseText"/>
    <w:qFormat/>
    <w:rsid w:val="00464519"/>
    <w:rPr>
      <w:b/>
      <w:bCs/>
      <w:i/>
      <w:color w:val="FF0000"/>
      <w:sz w:val="20"/>
    </w:rPr>
  </w:style>
  <w:style w:type="numbering" w:styleId="1ai">
    <w:name w:val="Outline List 1"/>
    <w:basedOn w:val="NoList"/>
    <w:semiHidden/>
    <w:rsid w:val="002C48F8"/>
    <w:pPr>
      <w:numPr>
        <w:numId w:val="2"/>
      </w:numPr>
    </w:pPr>
  </w:style>
  <w:style w:type="numbering" w:styleId="ArticleSection">
    <w:name w:val="Outline List 3"/>
    <w:basedOn w:val="NoList"/>
    <w:semiHidden/>
    <w:rsid w:val="002C48F8"/>
    <w:pPr>
      <w:numPr>
        <w:numId w:val="3"/>
      </w:numPr>
    </w:pPr>
  </w:style>
  <w:style w:type="paragraph" w:styleId="BlockText">
    <w:name w:val="Block Text"/>
    <w:basedOn w:val="Normal"/>
    <w:uiPriority w:val="99"/>
    <w:semiHidden/>
    <w:rsid w:val="00D60081"/>
    <w:pPr>
      <w:ind w:left="1440" w:right="1440"/>
    </w:pPr>
  </w:style>
  <w:style w:type="paragraph" w:styleId="BodyText2">
    <w:name w:val="Body Text 2"/>
    <w:basedOn w:val="Normal"/>
    <w:uiPriority w:val="99"/>
    <w:semiHidden/>
    <w:rsid w:val="00D60081"/>
    <w:pPr>
      <w:spacing w:line="480" w:lineRule="auto"/>
    </w:pPr>
  </w:style>
  <w:style w:type="paragraph" w:styleId="BodyText3">
    <w:name w:val="Body Text 3"/>
    <w:basedOn w:val="Normal"/>
    <w:uiPriority w:val="99"/>
    <w:semiHidden/>
    <w:rsid w:val="00D60081"/>
    <w:rPr>
      <w:sz w:val="16"/>
      <w:szCs w:val="16"/>
    </w:rPr>
  </w:style>
  <w:style w:type="paragraph" w:styleId="BodyTextFirstIndent">
    <w:name w:val="Body Text First Indent"/>
    <w:basedOn w:val="Normal"/>
    <w:uiPriority w:val="99"/>
    <w:semiHidden/>
    <w:rsid w:val="00A56FE9"/>
    <w:pPr>
      <w:spacing w:before="120" w:after="120"/>
      <w:ind w:firstLine="210"/>
      <w:jc w:val="both"/>
    </w:pPr>
    <w:rPr>
      <w:rFonts w:ascii="IBM Plex Sans" w:hAnsi="IBM Plex Sans" w:cs="Arial"/>
      <w:szCs w:val="21"/>
    </w:rPr>
  </w:style>
  <w:style w:type="paragraph" w:styleId="BodyTextFirstIndent2">
    <w:name w:val="Body Text First Indent 2"/>
    <w:basedOn w:val="Normal"/>
    <w:uiPriority w:val="99"/>
    <w:semiHidden/>
    <w:rsid w:val="00FE53F5"/>
    <w:pPr>
      <w:ind w:firstLine="210"/>
    </w:pPr>
  </w:style>
  <w:style w:type="paragraph" w:styleId="BodyTextIndent2">
    <w:name w:val="Body Text Indent 2"/>
    <w:basedOn w:val="Normal"/>
    <w:uiPriority w:val="99"/>
    <w:semiHidden/>
    <w:unhideWhenUsed/>
    <w:rsid w:val="00D60081"/>
    <w:pPr>
      <w:spacing w:line="480" w:lineRule="auto"/>
      <w:ind w:left="283"/>
    </w:pPr>
  </w:style>
  <w:style w:type="paragraph" w:styleId="BodyTextIndent3">
    <w:name w:val="Body Text Indent 3"/>
    <w:basedOn w:val="Normal"/>
    <w:uiPriority w:val="99"/>
    <w:semiHidden/>
    <w:unhideWhenUsed/>
    <w:rsid w:val="00D60081"/>
    <w:pPr>
      <w:ind w:left="283"/>
    </w:pPr>
    <w:rPr>
      <w:sz w:val="16"/>
      <w:szCs w:val="16"/>
    </w:rPr>
  </w:style>
  <w:style w:type="paragraph" w:styleId="Closing">
    <w:name w:val="Closing"/>
    <w:basedOn w:val="Normal"/>
    <w:uiPriority w:val="99"/>
    <w:semiHidden/>
    <w:rsid w:val="00D60081"/>
    <w:pPr>
      <w:ind w:left="4252"/>
    </w:pPr>
  </w:style>
  <w:style w:type="paragraph" w:styleId="Date">
    <w:name w:val="Date"/>
    <w:basedOn w:val="Normal"/>
    <w:next w:val="Normal"/>
    <w:uiPriority w:val="99"/>
    <w:semiHidden/>
    <w:rsid w:val="00D60081"/>
  </w:style>
  <w:style w:type="paragraph" w:styleId="E-mailSignature">
    <w:name w:val="E-mail Signature"/>
    <w:basedOn w:val="Normal"/>
    <w:uiPriority w:val="99"/>
    <w:semiHidden/>
    <w:rsid w:val="00D60081"/>
  </w:style>
  <w:style w:type="paragraph" w:customStyle="1" w:styleId="CS-IBMTableColumnHeader">
    <w:name w:val="CS-IBM Table Column Header"/>
    <w:basedOn w:val="CS-IBMResponseText"/>
    <w:qFormat/>
    <w:rsid w:val="00464519"/>
    <w:pPr>
      <w:spacing w:before="60" w:after="60"/>
      <w:jc w:val="center"/>
    </w:pPr>
    <w:rPr>
      <w:b/>
      <w:color w:val="FFFFFF" w:themeColor="background1"/>
      <w:szCs w:val="18"/>
    </w:rPr>
  </w:style>
  <w:style w:type="paragraph" w:styleId="EnvelopeAddress">
    <w:name w:val="envelope address"/>
    <w:basedOn w:val="Normal"/>
    <w:uiPriority w:val="99"/>
    <w:semiHidden/>
    <w:rsid w:val="00D60081"/>
    <w:pPr>
      <w:framePr w:w="7920" w:h="1980" w:hRule="exact" w:hSpace="180" w:wrap="auto" w:hAnchor="page" w:xAlign="center" w:yAlign="bottom"/>
      <w:ind w:left="2880"/>
    </w:pPr>
    <w:rPr>
      <w:rFonts w:cs="Arial"/>
      <w:sz w:val="24"/>
      <w:szCs w:val="24"/>
    </w:rPr>
  </w:style>
  <w:style w:type="paragraph" w:styleId="EnvelopeReturn">
    <w:name w:val="envelope return"/>
    <w:basedOn w:val="Normal"/>
    <w:uiPriority w:val="99"/>
    <w:semiHidden/>
    <w:rsid w:val="00D60081"/>
    <w:rPr>
      <w:rFonts w:cs="Arial"/>
      <w:sz w:val="20"/>
      <w:szCs w:val="20"/>
    </w:rPr>
  </w:style>
  <w:style w:type="character" w:styleId="FollowedHyperlink">
    <w:name w:val="FollowedHyperlink"/>
    <w:uiPriority w:val="99"/>
    <w:semiHidden/>
    <w:rsid w:val="00D60081"/>
    <w:rPr>
      <w:color w:val="800080"/>
      <w:u w:val="single"/>
    </w:rPr>
  </w:style>
  <w:style w:type="paragraph" w:styleId="Footer">
    <w:name w:val="footer"/>
    <w:basedOn w:val="CS-IBMHeader"/>
    <w:next w:val="Closing"/>
    <w:link w:val="FooterChar"/>
    <w:uiPriority w:val="99"/>
    <w:rsid w:val="00D57F1D"/>
    <w:pPr>
      <w:pBdr>
        <w:top w:val="single" w:sz="4" w:space="5" w:color="auto"/>
        <w:bottom w:val="none" w:sz="0" w:space="0" w:color="auto"/>
      </w:pBdr>
      <w:tabs>
        <w:tab w:val="center" w:pos="4680"/>
        <w:tab w:val="right" w:pos="9360"/>
      </w:tabs>
      <w:spacing w:before="120"/>
      <w:jc w:val="both"/>
    </w:pPr>
    <w:rPr>
      <w:szCs w:val="21"/>
    </w:rPr>
  </w:style>
  <w:style w:type="paragraph" w:styleId="Header">
    <w:name w:val="header"/>
    <w:basedOn w:val="Normal"/>
    <w:uiPriority w:val="99"/>
    <w:rsid w:val="00A56FE9"/>
    <w:pPr>
      <w:pBdr>
        <w:bottom w:val="single" w:sz="4" w:space="2" w:color="auto"/>
      </w:pBdr>
      <w:tabs>
        <w:tab w:val="right" w:pos="9360"/>
      </w:tabs>
      <w:spacing w:before="120" w:after="0"/>
      <w:jc w:val="both"/>
    </w:pPr>
    <w:rPr>
      <w:rFonts w:ascii="IBM Plex Sans" w:hAnsi="IBM Plex Sans" w:cs="Arial"/>
      <w:szCs w:val="21"/>
    </w:rPr>
  </w:style>
  <w:style w:type="character" w:styleId="HTMLAcronym">
    <w:name w:val="HTML Acronym"/>
    <w:basedOn w:val="DefaultParagraphFont"/>
    <w:uiPriority w:val="99"/>
    <w:semiHidden/>
    <w:rsid w:val="00D60081"/>
  </w:style>
  <w:style w:type="paragraph" w:styleId="HTMLAddress">
    <w:name w:val="HTML Address"/>
    <w:basedOn w:val="Normal"/>
    <w:uiPriority w:val="99"/>
    <w:semiHidden/>
    <w:rsid w:val="00D60081"/>
    <w:rPr>
      <w:i/>
      <w:iCs/>
    </w:rPr>
  </w:style>
  <w:style w:type="character" w:styleId="HTMLCite">
    <w:name w:val="HTML Cite"/>
    <w:uiPriority w:val="99"/>
    <w:semiHidden/>
    <w:rsid w:val="00D60081"/>
    <w:rPr>
      <w:i/>
      <w:iCs/>
    </w:rPr>
  </w:style>
  <w:style w:type="character" w:styleId="HTMLCode">
    <w:name w:val="HTML Code"/>
    <w:uiPriority w:val="99"/>
    <w:semiHidden/>
    <w:rsid w:val="00D60081"/>
    <w:rPr>
      <w:rFonts w:ascii="Courier New" w:hAnsi="Courier New" w:cs="Courier New"/>
      <w:sz w:val="20"/>
      <w:szCs w:val="20"/>
    </w:rPr>
  </w:style>
  <w:style w:type="character" w:styleId="HTMLDefinition">
    <w:name w:val="HTML Definition"/>
    <w:uiPriority w:val="99"/>
    <w:semiHidden/>
    <w:rsid w:val="00D60081"/>
    <w:rPr>
      <w:i/>
      <w:iCs/>
    </w:rPr>
  </w:style>
  <w:style w:type="character" w:styleId="HTMLKeyboard">
    <w:name w:val="HTML Keyboard"/>
    <w:uiPriority w:val="99"/>
    <w:semiHidden/>
    <w:rsid w:val="00D60081"/>
    <w:rPr>
      <w:rFonts w:ascii="Courier New" w:hAnsi="Courier New" w:cs="Courier New"/>
      <w:sz w:val="20"/>
      <w:szCs w:val="20"/>
    </w:rPr>
  </w:style>
  <w:style w:type="paragraph" w:styleId="HTMLPreformatted">
    <w:name w:val="HTML Preformatted"/>
    <w:basedOn w:val="Normal"/>
    <w:uiPriority w:val="99"/>
    <w:semiHidden/>
    <w:rsid w:val="00D60081"/>
    <w:rPr>
      <w:rFonts w:ascii="Courier New" w:hAnsi="Courier New" w:cs="Courier New"/>
      <w:sz w:val="20"/>
      <w:szCs w:val="20"/>
    </w:rPr>
  </w:style>
  <w:style w:type="character" w:styleId="HTMLSample">
    <w:name w:val="HTML Sample"/>
    <w:uiPriority w:val="99"/>
    <w:semiHidden/>
    <w:rsid w:val="00D60081"/>
    <w:rPr>
      <w:rFonts w:ascii="Courier New" w:hAnsi="Courier New" w:cs="Courier New"/>
    </w:rPr>
  </w:style>
  <w:style w:type="character" w:styleId="HTMLTypewriter">
    <w:name w:val="HTML Typewriter"/>
    <w:uiPriority w:val="99"/>
    <w:semiHidden/>
    <w:rsid w:val="00D60081"/>
    <w:rPr>
      <w:rFonts w:ascii="Courier New" w:hAnsi="Courier New" w:cs="Courier New"/>
      <w:sz w:val="20"/>
      <w:szCs w:val="20"/>
    </w:rPr>
  </w:style>
  <w:style w:type="character" w:styleId="HTMLVariable">
    <w:name w:val="HTML Variable"/>
    <w:uiPriority w:val="99"/>
    <w:semiHidden/>
    <w:rsid w:val="00D60081"/>
    <w:rPr>
      <w:i/>
      <w:iCs/>
    </w:rPr>
  </w:style>
  <w:style w:type="character" w:styleId="Hyperlink">
    <w:name w:val="Hyperlink"/>
    <w:uiPriority w:val="99"/>
    <w:rsid w:val="001C6D47"/>
    <w:rPr>
      <w:rFonts w:ascii="Century Gothic" w:hAnsi="Century Gothic"/>
      <w:color w:val="000000" w:themeColor="text1"/>
      <w:sz w:val="22"/>
      <w:u w:val="none"/>
    </w:rPr>
  </w:style>
  <w:style w:type="character" w:styleId="LineNumber">
    <w:name w:val="line number"/>
    <w:basedOn w:val="DefaultParagraphFont"/>
    <w:uiPriority w:val="99"/>
    <w:semiHidden/>
    <w:rsid w:val="00D60081"/>
  </w:style>
  <w:style w:type="paragraph" w:styleId="List4">
    <w:name w:val="List 4"/>
    <w:basedOn w:val="Normal"/>
    <w:uiPriority w:val="99"/>
    <w:semiHidden/>
    <w:rsid w:val="00D60081"/>
    <w:pPr>
      <w:ind w:left="1132" w:hanging="283"/>
    </w:pPr>
  </w:style>
  <w:style w:type="paragraph" w:styleId="List5">
    <w:name w:val="List 5"/>
    <w:basedOn w:val="Normal"/>
    <w:uiPriority w:val="99"/>
    <w:semiHidden/>
    <w:rsid w:val="00D60081"/>
    <w:pPr>
      <w:ind w:left="1415" w:hanging="283"/>
    </w:pPr>
  </w:style>
  <w:style w:type="paragraph" w:styleId="ListContinue">
    <w:name w:val="List Continue"/>
    <w:basedOn w:val="Normal"/>
    <w:uiPriority w:val="99"/>
    <w:semiHidden/>
    <w:rsid w:val="00D60081"/>
    <w:pPr>
      <w:ind w:left="283"/>
    </w:pPr>
  </w:style>
  <w:style w:type="paragraph" w:styleId="ListContinue2">
    <w:name w:val="List Continue 2"/>
    <w:basedOn w:val="Normal"/>
    <w:uiPriority w:val="99"/>
    <w:semiHidden/>
    <w:rsid w:val="00D60081"/>
    <w:pPr>
      <w:ind w:left="566"/>
    </w:pPr>
  </w:style>
  <w:style w:type="paragraph" w:styleId="ListContinue3">
    <w:name w:val="List Continue 3"/>
    <w:basedOn w:val="Normal"/>
    <w:uiPriority w:val="99"/>
    <w:semiHidden/>
    <w:rsid w:val="00D60081"/>
    <w:pPr>
      <w:ind w:left="849"/>
    </w:pPr>
  </w:style>
  <w:style w:type="paragraph" w:styleId="ListContinue4">
    <w:name w:val="List Continue 4"/>
    <w:basedOn w:val="Normal"/>
    <w:uiPriority w:val="99"/>
    <w:semiHidden/>
    <w:rsid w:val="00D60081"/>
    <w:pPr>
      <w:ind w:left="1132"/>
    </w:pPr>
  </w:style>
  <w:style w:type="paragraph" w:styleId="ListContinue5">
    <w:name w:val="List Continue 5"/>
    <w:basedOn w:val="Normal"/>
    <w:uiPriority w:val="99"/>
    <w:semiHidden/>
    <w:rsid w:val="00D60081"/>
    <w:pPr>
      <w:ind w:left="1415"/>
    </w:pPr>
  </w:style>
  <w:style w:type="paragraph" w:styleId="MessageHeader">
    <w:name w:val="Message Header"/>
    <w:basedOn w:val="Normal"/>
    <w:uiPriority w:val="99"/>
    <w:semiHidden/>
    <w:rsid w:val="00D60081"/>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Web">
    <w:name w:val="Normal (Web)"/>
    <w:basedOn w:val="Normal"/>
    <w:uiPriority w:val="99"/>
    <w:semiHidden/>
    <w:rsid w:val="00D60081"/>
    <w:rPr>
      <w:rFonts w:ascii="Times New Roman" w:hAnsi="Times New Roman"/>
      <w:sz w:val="24"/>
      <w:szCs w:val="24"/>
    </w:rPr>
  </w:style>
  <w:style w:type="paragraph" w:styleId="NormalIndent">
    <w:name w:val="Normal Indent"/>
    <w:basedOn w:val="Normal"/>
    <w:uiPriority w:val="99"/>
    <w:semiHidden/>
    <w:rsid w:val="00D60081"/>
    <w:pPr>
      <w:ind w:left="720"/>
    </w:pPr>
  </w:style>
  <w:style w:type="paragraph" w:styleId="NoteHeading">
    <w:name w:val="Note Heading"/>
    <w:basedOn w:val="Normal"/>
    <w:next w:val="Normal"/>
    <w:uiPriority w:val="99"/>
    <w:semiHidden/>
    <w:rsid w:val="00D60081"/>
  </w:style>
  <w:style w:type="character" w:styleId="PageNumber">
    <w:name w:val="page number"/>
    <w:basedOn w:val="DefaultParagraphFont"/>
    <w:uiPriority w:val="99"/>
    <w:semiHidden/>
    <w:rsid w:val="00D60081"/>
  </w:style>
  <w:style w:type="paragraph" w:styleId="PlainText">
    <w:name w:val="Plain Text"/>
    <w:basedOn w:val="Normal"/>
    <w:uiPriority w:val="99"/>
    <w:semiHidden/>
    <w:rsid w:val="00D60081"/>
    <w:rPr>
      <w:rFonts w:ascii="Courier New" w:hAnsi="Courier New" w:cs="Courier New"/>
      <w:sz w:val="20"/>
      <w:szCs w:val="20"/>
    </w:rPr>
  </w:style>
  <w:style w:type="paragraph" w:styleId="Salutation">
    <w:name w:val="Salutation"/>
    <w:basedOn w:val="Normal"/>
    <w:next w:val="Normal"/>
    <w:uiPriority w:val="99"/>
    <w:semiHidden/>
    <w:rsid w:val="00D60081"/>
  </w:style>
  <w:style w:type="paragraph" w:styleId="Signature">
    <w:name w:val="Signature"/>
    <w:basedOn w:val="Normal"/>
    <w:uiPriority w:val="99"/>
    <w:semiHidden/>
    <w:rsid w:val="00D60081"/>
    <w:pPr>
      <w:ind w:left="4252"/>
    </w:pPr>
  </w:style>
  <w:style w:type="table" w:customStyle="1" w:styleId="TableGridLight1">
    <w:name w:val="Table Grid Light1"/>
    <w:basedOn w:val="TableNormal"/>
    <w:uiPriority w:val="40"/>
    <w:rsid w:val="00D16EAC"/>
    <w:tblPr>
      <w:tblInd w:w="0" w:type="nil"/>
      <w:tblCellMar>
        <w:left w:w="0" w:type="dxa"/>
        <w:right w:w="0" w:type="dxa"/>
      </w:tblCellMar>
    </w:tblPr>
  </w:style>
  <w:style w:type="table" w:styleId="Table3Deffects1">
    <w:name w:val="Table 3D effects 1"/>
    <w:basedOn w:val="TableNormal"/>
    <w:semiHidden/>
    <w:rsid w:val="00D60081"/>
    <w:pPr>
      <w:spacing w:before="240" w:after="60"/>
    </w:pPr>
    <w:tblPr>
      <w:tblInd w:w="0" w:type="nil"/>
      <w:tblCellMar>
        <w:left w:w="0" w:type="dxa"/>
        <w:right w:w="0" w:type="dxa"/>
      </w:tblCellMar>
    </w:tblPr>
    <w:tblStylePr w:type="firstRow">
      <w:rPr>
        <w:b/>
        <w:bCs/>
        <w:color w:val="800080"/>
      </w:rPr>
    </w:tblStylePr>
    <w:tblStylePr w:type="firstCol">
      <w:rPr>
        <w:b/>
        <w:bCs/>
      </w:rPr>
    </w:tblStylePr>
    <w:tblStylePr w:type="swCell">
      <w:rPr>
        <w:color w:val="000080"/>
      </w:rPr>
    </w:tblStylePr>
  </w:style>
  <w:style w:type="table" w:styleId="Table3Deffects2">
    <w:name w:val="Table 3D effects 2"/>
    <w:basedOn w:val="TableNormal"/>
    <w:semiHidden/>
    <w:rsid w:val="00D60081"/>
    <w:pPr>
      <w:spacing w:before="240" w:after="60"/>
    </w:pPr>
    <w:tblPr>
      <w:tblInd w:w="0" w:type="nil"/>
      <w:tblCellMar>
        <w:left w:w="0" w:type="dxa"/>
        <w:right w:w="0" w:type="dxa"/>
      </w:tblCellMar>
    </w:tblPr>
    <w:tblStylePr w:type="firstRow">
      <w:rPr>
        <w:b/>
        <w:bCs/>
      </w:rPr>
    </w:tblStylePr>
    <w:tblStylePr w:type="swCell">
      <w:rPr>
        <w:b/>
        <w:bCs/>
      </w:rPr>
    </w:tblStylePr>
  </w:style>
  <w:style w:type="table" w:styleId="Table3Deffects3">
    <w:name w:val="Table 3D effects 3"/>
    <w:basedOn w:val="TableNormal"/>
    <w:semiHidden/>
    <w:rsid w:val="00D60081"/>
    <w:pPr>
      <w:spacing w:before="240" w:after="60"/>
    </w:pPr>
    <w:tblPr>
      <w:tblStyleColBandSize w:val="1"/>
      <w:tblInd w:w="0" w:type="nil"/>
      <w:tblCellMar>
        <w:left w:w="0" w:type="dxa"/>
        <w:right w:w="0" w:type="dxa"/>
      </w:tblCellMar>
    </w:tblPr>
    <w:tblStylePr w:type="firstRow">
      <w:rPr>
        <w:b/>
        <w:bCs/>
      </w:rPr>
    </w:tblStylePr>
    <w:tblStylePr w:type="band1Vert">
      <w:rPr>
        <w:color w:val="auto"/>
      </w:rPr>
    </w:tblStylePr>
    <w:tblStylePr w:type="band2Vert">
      <w:rPr>
        <w:color w:val="auto"/>
      </w:rPr>
    </w:tblStylePr>
    <w:tblStylePr w:type="swCell">
      <w:rPr>
        <w:b/>
        <w:bCs/>
      </w:rPr>
    </w:tblStylePr>
  </w:style>
  <w:style w:type="table" w:styleId="TableClassic1">
    <w:name w:val="Table Classic 1"/>
    <w:basedOn w:val="TableNormal"/>
    <w:semiHidden/>
    <w:rsid w:val="00D60081"/>
    <w:pPr>
      <w:spacing w:before="240" w:after="60"/>
    </w:pPr>
    <w:tblPr>
      <w:tblInd w:w="0" w:type="nil"/>
      <w:tblCellMar>
        <w:left w:w="0" w:type="dxa"/>
        <w:right w:w="0" w:type="dxa"/>
      </w:tblCellMar>
    </w:tblPr>
    <w:tblStylePr w:type="firstRow">
      <w:rPr>
        <w:i/>
        <w:iCs/>
      </w:rPr>
    </w:tblStylePr>
    <w:tblStylePr w:type="lastRow">
      <w:rPr>
        <w:color w:val="auto"/>
      </w:rPr>
    </w:tblStylePr>
    <w:tblStylePr w:type="neCell">
      <w:rPr>
        <w:b/>
        <w:bCs/>
        <w:i w:val="0"/>
        <w:iCs w:val="0"/>
      </w:rPr>
    </w:tblStylePr>
    <w:tblStylePr w:type="swCell">
      <w:rPr>
        <w:b/>
        <w:bCs/>
      </w:rPr>
    </w:tblStylePr>
  </w:style>
  <w:style w:type="table" w:styleId="TableClassic2">
    <w:name w:val="Table Classic 2"/>
    <w:basedOn w:val="TableNormal"/>
    <w:semiHidden/>
    <w:rsid w:val="00D60081"/>
    <w:pPr>
      <w:spacing w:before="240" w:after="60"/>
    </w:pPr>
    <w:tblPr>
      <w:tblInd w:w="0" w:type="nil"/>
      <w:tblCellMar>
        <w:left w:w="0" w:type="dxa"/>
        <w:right w:w="0" w:type="dxa"/>
      </w:tblCellMar>
    </w:tblPr>
    <w:tblStylePr w:type="firstRow">
      <w:rPr>
        <w:color w:val="FFFFFF"/>
      </w:rPr>
    </w:tblStylePr>
    <w:tblStylePr w:type="firstCol">
      <w:rPr>
        <w:b/>
        <w:bCs/>
      </w:rPr>
    </w:tblStylePr>
    <w:tblStylePr w:type="neCell">
      <w:rPr>
        <w:b/>
        <w:bCs/>
      </w:rPr>
    </w:tblStylePr>
    <w:tblStylePr w:type="swCell">
      <w:rPr>
        <w:color w:val="000080"/>
      </w:rPr>
    </w:tblStylePr>
  </w:style>
  <w:style w:type="table" w:styleId="TableClassic3">
    <w:name w:val="Table Classic 3"/>
    <w:basedOn w:val="TableNormal"/>
    <w:semiHidden/>
    <w:rsid w:val="00D60081"/>
    <w:pPr>
      <w:spacing w:before="240" w:after="60"/>
    </w:pPr>
    <w:rPr>
      <w:color w:val="000080"/>
    </w:rPr>
    <w:tblPr>
      <w:tblInd w:w="0" w:type="nil"/>
      <w:tblCellMar>
        <w:left w:w="0" w:type="dxa"/>
        <w:right w:w="0" w:type="dxa"/>
      </w:tblCellMar>
    </w:tblPr>
    <w:tcPr>
      <w:shd w:val="solid" w:color="C0C0C0" w:fill="FFFFFF"/>
    </w:tcPr>
    <w:tblStylePr w:type="firstRow">
      <w:rPr>
        <w:b/>
        <w:bCs/>
        <w:i/>
        <w:iCs/>
        <w:color w:val="FFFFFF"/>
      </w:rPr>
    </w:tblStylePr>
    <w:tblStylePr w:type="lastRow">
      <w:rPr>
        <w:color w:val="000080"/>
      </w:rPr>
    </w:tblStylePr>
    <w:tblStylePr w:type="firstCol">
      <w:rPr>
        <w:b/>
        <w:bCs/>
        <w:color w:val="000000"/>
      </w:rPr>
    </w:tblStylePr>
  </w:style>
  <w:style w:type="table" w:styleId="TableClassic4">
    <w:name w:val="Table Classic 4"/>
    <w:basedOn w:val="TableNormal"/>
    <w:semiHidden/>
    <w:rsid w:val="00D60081"/>
    <w:pPr>
      <w:spacing w:before="240" w:after="60"/>
    </w:pPr>
    <w:tblPr>
      <w:tblInd w:w="0" w:type="nil"/>
      <w:tblCellMar>
        <w:left w:w="0" w:type="dxa"/>
        <w:right w:w="0" w:type="dxa"/>
      </w:tblCellMar>
    </w:tblPr>
    <w:tblStylePr w:type="firstRow">
      <w:rPr>
        <w:b/>
        <w:bCs/>
        <w:i/>
        <w:iCs/>
        <w:color w:val="FFFFFF"/>
      </w:rPr>
    </w:tblStylePr>
    <w:tblStylePr w:type="lastRow">
      <w:rPr>
        <w:color w:val="000080"/>
      </w:rPr>
    </w:tblStylePr>
    <w:tblStylePr w:type="firstCol">
      <w:rPr>
        <w:b/>
        <w:bCs/>
      </w:rPr>
    </w:tblStylePr>
    <w:tblStylePr w:type="nwCell">
      <w:rPr>
        <w:b/>
        <w:bCs/>
      </w:rPr>
    </w:tblStylePr>
    <w:tblStylePr w:type="swCell">
      <w:rPr>
        <w:color w:val="000080"/>
      </w:rPr>
    </w:tblStylePr>
  </w:style>
  <w:style w:type="table" w:styleId="TableColorful1">
    <w:name w:val="Table Colorful 1"/>
    <w:basedOn w:val="TableNormal"/>
    <w:semiHidden/>
    <w:rsid w:val="00D60081"/>
    <w:pPr>
      <w:spacing w:before="240" w:after="60"/>
    </w:pPr>
    <w:rPr>
      <w:color w:val="FFFFFF"/>
    </w:rPr>
    <w:tblPr>
      <w:tblInd w:w="0" w:type="nil"/>
      <w:tblCellMar>
        <w:left w:w="0" w:type="dxa"/>
        <w:right w:w="0" w:type="dxa"/>
      </w:tblCellMar>
    </w:tblPr>
    <w:tblStylePr w:type="firstRow">
      <w:rPr>
        <w:b/>
        <w:bCs/>
        <w:i/>
        <w:iCs/>
      </w:rPr>
    </w:tblStylePr>
    <w:tblStylePr w:type="firstCol">
      <w:rPr>
        <w:b/>
        <w:bCs/>
        <w:i/>
        <w:iCs/>
      </w:rPr>
    </w:tblStylePr>
    <w:tblStylePr w:type="swCell">
      <w:rPr>
        <w:b/>
        <w:bCs/>
        <w:i w:val="0"/>
        <w:iCs w:val="0"/>
      </w:rPr>
    </w:tblStylePr>
  </w:style>
  <w:style w:type="table" w:styleId="TableColorful2">
    <w:name w:val="Table Colorful 2"/>
    <w:basedOn w:val="TableNormal"/>
    <w:semiHidden/>
    <w:rsid w:val="00D60081"/>
    <w:pPr>
      <w:spacing w:before="240" w:after="60"/>
    </w:pPr>
    <w:tblPr>
      <w:tblInd w:w="0" w:type="nil"/>
      <w:tblCellMar>
        <w:left w:w="0" w:type="dxa"/>
        <w:right w:w="0" w:type="dxa"/>
      </w:tblCellMar>
    </w:tblPr>
    <w:tcPr>
      <w:shd w:val="pct20" w:color="FFFF00" w:fill="FFFFFF"/>
    </w:tcPr>
    <w:tblStylePr w:type="firstRow">
      <w:rPr>
        <w:b/>
        <w:bCs/>
        <w:i/>
        <w:iCs/>
        <w:color w:val="FFFFFF"/>
      </w:rPr>
    </w:tblStylePr>
    <w:tblStylePr w:type="firstCol">
      <w:rPr>
        <w:b/>
        <w:bCs/>
        <w:i/>
        <w:iCs/>
      </w:rPr>
    </w:tblStylePr>
    <w:tblStylePr w:type="swCell">
      <w:rPr>
        <w:b/>
        <w:bCs/>
        <w:i w:val="0"/>
        <w:iCs w:val="0"/>
      </w:rPr>
    </w:tblStylePr>
  </w:style>
  <w:style w:type="table" w:styleId="TableColorful3">
    <w:name w:val="Table Colorful 3"/>
    <w:basedOn w:val="TableNormal"/>
    <w:semiHidden/>
    <w:rsid w:val="00D60081"/>
    <w:pPr>
      <w:spacing w:before="240" w:after="60"/>
    </w:pPr>
    <w:tblPr>
      <w:tblInd w:w="0" w:type="nil"/>
      <w:tblCellMar>
        <w:left w:w="0" w:type="dxa"/>
        <w:right w:w="0" w:type="dxa"/>
      </w:tblCellMar>
    </w:tblPr>
    <w:tblStylePr w:type="nwCell">
      <w:rPr>
        <w:b/>
        <w:bCs/>
        <w:color w:val="FFFFFF"/>
      </w:rPr>
    </w:tblStylePr>
  </w:style>
  <w:style w:type="table" w:styleId="TableColumns1">
    <w:name w:val="Table Columns 1"/>
    <w:basedOn w:val="TableNormal"/>
    <w:semiHidden/>
    <w:rsid w:val="00D60081"/>
    <w:pPr>
      <w:spacing w:before="240" w:after="60"/>
    </w:pPr>
    <w:rPr>
      <w:b/>
      <w:bCs/>
    </w:rPr>
    <w:tblPr>
      <w:tblInd w:w="0" w:type="nil"/>
      <w:tblCellMar>
        <w:left w:w="0" w:type="dxa"/>
        <w:right w:w="0" w:type="dxa"/>
      </w:tblCellMar>
    </w:tblPr>
    <w:tcPr>
      <w:shd w:val="pct20" w:color="FFFF00" w:fill="FFFFFF"/>
    </w:tcPr>
    <w:tblStylePr w:type="firstRow">
      <w:rPr>
        <w:b w:val="0"/>
        <w:bCs w:val="0"/>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2">
    <w:name w:val="Table Columns 2"/>
    <w:basedOn w:val="TableNormal"/>
    <w:semiHidden/>
    <w:rsid w:val="00D60081"/>
    <w:pPr>
      <w:spacing w:before="240" w:after="60"/>
    </w:pPr>
    <w:rPr>
      <w:b/>
      <w:bCs/>
    </w:rPr>
    <w:tblPr>
      <w:tblInd w:w="0" w:type="nil"/>
      <w:tblCellMar>
        <w:left w:w="0" w:type="dxa"/>
        <w:right w:w="0" w:type="dxa"/>
      </w:tblCellMar>
    </w:tblPr>
    <w:tblStylePr w:type="firstRow">
      <w:rPr>
        <w:color w:val="FFFFFF"/>
      </w:r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StylePr>
    <w:tblStylePr w:type="band2Vert">
      <w:rPr>
        <w:color w:val="auto"/>
      </w:rPr>
    </w:tblStylePr>
    <w:tblStylePr w:type="neCell">
      <w:rPr>
        <w:b/>
        <w:bCs/>
      </w:rPr>
    </w:tblStylePr>
    <w:tblStylePr w:type="swCell">
      <w:rPr>
        <w:b/>
        <w:bCs/>
      </w:rPr>
    </w:tblStylePr>
  </w:style>
  <w:style w:type="table" w:styleId="TableColumns3">
    <w:name w:val="Table Columns 3"/>
    <w:basedOn w:val="TableNormal"/>
    <w:semiHidden/>
    <w:rsid w:val="00D60081"/>
    <w:pPr>
      <w:spacing w:before="240" w:after="60"/>
    </w:pPr>
    <w:rPr>
      <w:b/>
      <w:bCs/>
    </w:rPr>
    <w:tblPr>
      <w:tblInd w:w="0" w:type="nil"/>
      <w:tblCellMar>
        <w:left w:w="0" w:type="dxa"/>
        <w:right w:w="0" w:type="dxa"/>
      </w:tblCellMar>
    </w:tblPr>
    <w:tblStylePr w:type="firstRow">
      <w:rPr>
        <w:color w:val="FFFFFF"/>
      </w:rPr>
    </w:tblStylePr>
    <w:tblStylePr w:type="lastRow">
      <w:rPr>
        <w:b w:val="0"/>
        <w:bCs w:val="0"/>
      </w:rPr>
    </w:tblStylePr>
    <w:tblStylePr w:type="firstCol">
      <w:rPr>
        <w:b w:val="0"/>
        <w:bCs w:val="0"/>
      </w:rPr>
    </w:tblStylePr>
    <w:tblStylePr w:type="lastCol">
      <w:rPr>
        <w:b w:val="0"/>
        <w:bCs w:val="0"/>
      </w:rPr>
    </w:tblStylePr>
    <w:tblStylePr w:type="band1Vert">
      <w:rPr>
        <w:color w:val="auto"/>
      </w:rPr>
    </w:tblStylePr>
    <w:tblStylePr w:type="band2Vert">
      <w:rPr>
        <w:color w:val="auto"/>
      </w:rPr>
    </w:tblStylePr>
    <w:tblStylePr w:type="neCell">
      <w:rPr>
        <w:b/>
        <w:bCs/>
      </w:rPr>
    </w:tblStylePr>
  </w:style>
  <w:style w:type="table" w:styleId="TableColumns4">
    <w:name w:val="Table Columns 4"/>
    <w:basedOn w:val="TableNormal"/>
    <w:semiHidden/>
    <w:rsid w:val="00D60081"/>
    <w:pPr>
      <w:spacing w:before="240" w:after="60"/>
    </w:pPr>
    <w:tblPr>
      <w:tblInd w:w="0" w:type="nil"/>
      <w:tblCellMar>
        <w:left w:w="0" w:type="dxa"/>
        <w:right w:w="0" w:type="dxa"/>
      </w:tblCellMar>
    </w:tblPr>
    <w:tblStylePr w:type="firstRow">
      <w:rPr>
        <w:color w:val="FFFFFF"/>
      </w:rPr>
    </w:tblStylePr>
    <w:tblStylePr w:type="lastRow">
      <w:rPr>
        <w:b/>
        <w:bCs/>
      </w:rPr>
    </w:tblStylePr>
    <w:tblStylePr w:type="lastCol">
      <w:rPr>
        <w:b/>
        <w:bCs/>
      </w:rPr>
    </w:tblStylePr>
    <w:tblStylePr w:type="band1Vert">
      <w:rPr>
        <w:color w:val="auto"/>
      </w:rPr>
    </w:tblStylePr>
    <w:tblStylePr w:type="band2Vert">
      <w:rPr>
        <w:color w:val="auto"/>
      </w:rPr>
    </w:tblStylePr>
  </w:style>
  <w:style w:type="table" w:styleId="TableColumns5">
    <w:name w:val="Table Columns 5"/>
    <w:basedOn w:val="TableNormal"/>
    <w:semiHidden/>
    <w:rsid w:val="00D60081"/>
    <w:pPr>
      <w:spacing w:before="240" w:after="60"/>
    </w:pPr>
    <w:tblPr>
      <w:tblStyleColBandSize w:val="1"/>
      <w:tblInd w:w="0" w:type="nil"/>
      <w:tblCellMar>
        <w:left w:w="0" w:type="dxa"/>
        <w:right w:w="0" w:type="dxa"/>
      </w:tblCellMar>
    </w:tblPr>
    <w:tcPr>
      <w:tcBorders>
        <w:bottom w:val="single" w:sz="6" w:space="0" w:color="808080"/>
      </w:tcBorders>
      <w:shd w:val="solid" w:color="C0C0C0" w:fill="FFFFFF"/>
    </w:tcPr>
    <w:tblStylePr w:type="firstRow">
      <w:rPr>
        <w:b/>
        <w:bCs/>
        <w:i/>
        <w:iCs/>
      </w:rPr>
    </w:tblStylePr>
    <w:tblStylePr w:type="lastRow">
      <w:rPr>
        <w:b/>
        <w:bCs/>
      </w:rPr>
    </w:tblStylePr>
    <w:tblStylePr w:type="firstCol">
      <w:rPr>
        <w:b/>
        <w:bCs/>
      </w:rPr>
    </w:tblStylePr>
    <w:tblStylePr w:type="lastCol">
      <w:rPr>
        <w:b/>
        <w:bCs/>
      </w:rPr>
    </w:tblStylePr>
    <w:tblStylePr w:type="band1Vert">
      <w:rPr>
        <w:color w:val="auto"/>
      </w:rPr>
    </w:tblStylePr>
    <w:tblStylePr w:type="band2Vert">
      <w:rPr>
        <w:color w:val="auto"/>
      </w:rPr>
    </w:tblStylePr>
  </w:style>
  <w:style w:type="table" w:styleId="TableContemporary">
    <w:name w:val="Table Contemporary"/>
    <w:basedOn w:val="TableNormal"/>
    <w:semiHidden/>
    <w:rsid w:val="00D60081"/>
    <w:pPr>
      <w:spacing w:before="240" w:after="60"/>
    </w:pPr>
    <w:tblPr>
      <w:tblInd w:w="0" w:type="nil"/>
      <w:tblCellMar>
        <w:left w:w="0" w:type="dxa"/>
        <w:right w:w="0" w:type="dxa"/>
      </w:tblCellMar>
    </w:tblPr>
    <w:tblStylePr w:type="firstRow">
      <w:rPr>
        <w:b/>
        <w:bCs/>
        <w:color w:val="auto"/>
      </w:rPr>
    </w:tblStylePr>
    <w:tblStylePr w:type="band1Horz">
      <w:rPr>
        <w:color w:val="auto"/>
      </w:rPr>
    </w:tblStylePr>
    <w:tblStylePr w:type="band2Horz">
      <w:rPr>
        <w:color w:val="auto"/>
      </w:rPr>
    </w:tblStylePr>
  </w:style>
  <w:style w:type="table" w:styleId="TableElegant">
    <w:name w:val="Table Elegant"/>
    <w:basedOn w:val="TableNormal"/>
    <w:semiHidden/>
    <w:rsid w:val="00D60081"/>
    <w:pPr>
      <w:spacing w:before="240" w:after="60"/>
    </w:pPr>
    <w:tblPr>
      <w:tblInd w:w="0" w:type="nil"/>
      <w:tblCellMar>
        <w:left w:w="0" w:type="dxa"/>
        <w:right w:w="0" w:type="dxa"/>
      </w:tblCellMar>
    </w:tblPr>
    <w:tblStylePr w:type="firstRow">
      <w:rPr>
        <w:caps/>
        <w:color w:val="auto"/>
      </w:rPr>
    </w:tblStylePr>
  </w:style>
  <w:style w:type="table" w:styleId="TableGrid">
    <w:name w:val="Table Grid"/>
    <w:basedOn w:val="TableNormal"/>
    <w:rsid w:val="00CE62DF"/>
    <w:pPr>
      <w:spacing w:before="60" w:after="60"/>
    </w:pPr>
    <w:rPr>
      <w:rFonts w:ascii="Arial" w:hAnsi="Arial"/>
      <w:sz w:val="18"/>
      <w:szCs w:val="19"/>
    </w:rPr>
    <w:tblPr>
      <w:tblInd w:w="0" w:type="nil"/>
      <w:tblCellMar>
        <w:left w:w="0" w:type="dxa"/>
        <w:right w:w="0" w:type="dxa"/>
      </w:tblCellMar>
    </w:tblPr>
    <w:tblStylePr w:type="firstRow">
      <w:rPr>
        <w:rFonts w:ascii="Arial" w:hAnsi="Arial"/>
        <w:b w:val="0"/>
        <w:i w:val="0"/>
        <w:sz w:val="18"/>
        <w:szCs w:val="19"/>
      </w:rPr>
    </w:tblStylePr>
    <w:tblStylePr w:type="lastRow">
      <w:rPr>
        <w:rFonts w:ascii="Arial" w:hAnsi="Arial"/>
        <w:sz w:val="18"/>
      </w:rPr>
    </w:tblStylePr>
  </w:style>
  <w:style w:type="table" w:styleId="TableGrid1">
    <w:name w:val="Table Grid 1"/>
    <w:basedOn w:val="TableNormal"/>
    <w:semiHidden/>
    <w:rsid w:val="00D60081"/>
    <w:pPr>
      <w:spacing w:before="240" w:after="60"/>
    </w:pPr>
    <w:tblPr>
      <w:tblInd w:w="0" w:type="nil"/>
      <w:tblCellMar>
        <w:left w:w="0" w:type="dxa"/>
        <w:right w:w="0" w:type="dxa"/>
      </w:tblCellMar>
    </w:tblPr>
    <w:tblStylePr w:type="lastRow">
      <w:rPr>
        <w:i/>
        <w:iCs/>
      </w:rPr>
    </w:tblStylePr>
    <w:tblStylePr w:type="lastCol">
      <w:rPr>
        <w:i/>
        <w:iCs/>
      </w:rPr>
    </w:tblStylePr>
  </w:style>
  <w:style w:type="table" w:styleId="TableGrid2">
    <w:name w:val="Table Grid 2"/>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TableGrid3">
    <w:name w:val="Table Grid 3"/>
    <w:basedOn w:val="TableNormal"/>
    <w:semiHidden/>
    <w:rsid w:val="00D60081"/>
    <w:pPr>
      <w:spacing w:before="240" w:after="60"/>
    </w:pPr>
    <w:tblPr>
      <w:tblInd w:w="0" w:type="nil"/>
      <w:tblCellMar>
        <w:left w:w="0" w:type="dxa"/>
        <w:right w:w="0" w:type="dxa"/>
      </w:tblCellMar>
    </w:tblPr>
    <w:tblStylePr w:type="lastRow">
      <w:rPr>
        <w:b/>
        <w:bCs/>
      </w:rPr>
    </w:tblStylePr>
    <w:tblStylePr w:type="lastCol">
      <w:rPr>
        <w:b/>
        <w:bCs/>
      </w:rPr>
    </w:tblStylePr>
  </w:style>
  <w:style w:type="table" w:styleId="TableGrid4">
    <w:name w:val="Table Grid 4"/>
    <w:basedOn w:val="TableNormal"/>
    <w:semiHidden/>
    <w:rsid w:val="00D60081"/>
    <w:pPr>
      <w:spacing w:before="240" w:after="60"/>
    </w:pPr>
    <w:tblPr>
      <w:tblInd w:w="0" w:type="nil"/>
      <w:tblCellMar>
        <w:left w:w="0" w:type="dxa"/>
        <w:right w:w="0" w:type="dxa"/>
      </w:tblCellMar>
    </w:tblPr>
    <w:tblStylePr w:type="firstRow">
      <w:rPr>
        <w:color w:val="auto"/>
      </w:rPr>
    </w:tblStylePr>
    <w:tblStylePr w:type="lastRow">
      <w:rPr>
        <w:b/>
        <w:bCs/>
        <w:color w:val="auto"/>
      </w:rPr>
    </w:tblStylePr>
    <w:tblStylePr w:type="lastCol">
      <w:rPr>
        <w:b/>
        <w:bCs/>
        <w:color w:val="auto"/>
      </w:rPr>
    </w:tblStylePr>
  </w:style>
  <w:style w:type="table" w:styleId="TableGrid5">
    <w:name w:val="Table Grid 5"/>
    <w:basedOn w:val="TableNormal"/>
    <w:semiHidden/>
    <w:rsid w:val="00D60081"/>
    <w:pPr>
      <w:spacing w:before="240" w:after="60"/>
    </w:pPr>
    <w:tblPr>
      <w:tblInd w:w="0" w:type="nil"/>
      <w:tblCellMar>
        <w:left w:w="0" w:type="dxa"/>
        <w:right w:w="0" w:type="dxa"/>
      </w:tblCellMar>
    </w:tblPr>
    <w:tblStylePr w:type="lastRow">
      <w:rPr>
        <w:b/>
        <w:bCs/>
      </w:rPr>
    </w:tblStylePr>
    <w:tblStylePr w:type="lastCol">
      <w:rPr>
        <w:b/>
        <w:bCs/>
      </w:rPr>
    </w:tblStylePr>
  </w:style>
  <w:style w:type="table" w:styleId="TableGrid6">
    <w:name w:val="Table Grid 6"/>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color w:val="auto"/>
      </w:rPr>
    </w:tblStylePr>
    <w:tblStylePr w:type="firstCol">
      <w:rPr>
        <w:b/>
        <w:bCs/>
      </w:rPr>
    </w:tblStylePr>
  </w:style>
  <w:style w:type="table" w:styleId="TableGrid7">
    <w:name w:val="Table Grid 7"/>
    <w:basedOn w:val="TableNormal"/>
    <w:semiHidden/>
    <w:rsid w:val="00D60081"/>
    <w:pPr>
      <w:spacing w:before="240" w:after="60"/>
    </w:pPr>
    <w:rPr>
      <w:b/>
      <w:bCs/>
    </w:rPr>
    <w:tblPr>
      <w:tblInd w:w="0" w:type="nil"/>
      <w:tblCellMar>
        <w:left w:w="0" w:type="dxa"/>
        <w:right w:w="0" w:type="dxa"/>
      </w:tblCellMar>
    </w:tblPr>
    <w:tblStylePr w:type="firstRow">
      <w:rPr>
        <w:b w:val="0"/>
        <w:bCs w:val="0"/>
      </w:rPr>
    </w:tblStylePr>
    <w:tblStylePr w:type="lastRow">
      <w:rPr>
        <w:b w:val="0"/>
        <w:bCs w:val="0"/>
      </w:rPr>
    </w:tblStylePr>
    <w:tblStylePr w:type="firstCol">
      <w:rPr>
        <w:b w:val="0"/>
        <w:bCs w:val="0"/>
      </w:rPr>
    </w:tblStylePr>
    <w:tblStylePr w:type="lastCol">
      <w:rPr>
        <w:b w:val="0"/>
        <w:bCs w:val="0"/>
      </w:rPr>
    </w:tblStylePr>
  </w:style>
  <w:style w:type="table" w:styleId="TableGrid8">
    <w:name w:val="Table Grid 8"/>
    <w:basedOn w:val="TableNormal"/>
    <w:semiHidden/>
    <w:rsid w:val="00D60081"/>
    <w:pPr>
      <w:spacing w:before="240" w:after="60"/>
    </w:pPr>
    <w:tblPr>
      <w:tblInd w:w="0" w:type="nil"/>
      <w:tblCellMar>
        <w:left w:w="0" w:type="dxa"/>
        <w:right w:w="0" w:type="dxa"/>
      </w:tblCellMar>
    </w:tblPr>
    <w:tblStylePr w:type="firstRow">
      <w:rPr>
        <w:b/>
        <w:bCs/>
        <w:color w:val="FFFFFF"/>
      </w:rPr>
    </w:tblStylePr>
    <w:tblStylePr w:type="lastRow">
      <w:rPr>
        <w:b/>
        <w:bCs/>
        <w:color w:val="auto"/>
      </w:rPr>
    </w:tblStylePr>
    <w:tblStylePr w:type="lastCol">
      <w:rPr>
        <w:b/>
        <w:bCs/>
        <w:color w:val="auto"/>
      </w:rPr>
    </w:tblStylePr>
  </w:style>
  <w:style w:type="table" w:styleId="TableList1">
    <w:name w:val="Table List 1"/>
    <w:basedOn w:val="TableNormal"/>
    <w:semiHidden/>
    <w:rsid w:val="00D60081"/>
    <w:pPr>
      <w:spacing w:before="240" w:after="60"/>
    </w:pPr>
    <w:tblPr>
      <w:tblInd w:w="0" w:type="nil"/>
      <w:tblCellMar>
        <w:left w:w="0" w:type="dxa"/>
        <w:right w:w="0" w:type="dxa"/>
      </w:tblCellMar>
    </w:tblPr>
    <w:tblStylePr w:type="firstRow">
      <w:rPr>
        <w:b/>
        <w:bCs/>
        <w:i/>
        <w:iCs/>
        <w:color w:val="800000"/>
      </w:rPr>
    </w:tblStylePr>
    <w:tblStylePr w:type="band1Horz">
      <w:rPr>
        <w:color w:val="auto"/>
      </w:rPr>
    </w:tblStylePr>
    <w:tblStylePr w:type="band2Horz">
      <w:rPr>
        <w:color w:val="auto"/>
      </w:rPr>
    </w:tblStylePr>
    <w:tblStylePr w:type="swCell">
      <w:rPr>
        <w:b/>
        <w:bCs/>
      </w:rPr>
    </w:tblStylePr>
  </w:style>
  <w:style w:type="table" w:styleId="TableList2">
    <w:name w:val="Table List 2"/>
    <w:basedOn w:val="TableNormal"/>
    <w:semiHidden/>
    <w:rsid w:val="00D60081"/>
    <w:pPr>
      <w:spacing w:before="240" w:after="60"/>
    </w:pPr>
    <w:tblPr>
      <w:tblInd w:w="0" w:type="nil"/>
      <w:tblCellMar>
        <w:left w:w="0" w:type="dxa"/>
        <w:right w:w="0" w:type="dxa"/>
      </w:tblCellMar>
    </w:tblPr>
    <w:tblStylePr w:type="firstRow">
      <w:rPr>
        <w:b/>
        <w:bCs/>
        <w:color w:val="FFFFFF"/>
      </w:rPr>
    </w:tblStylePr>
    <w:tblStylePr w:type="band1Horz">
      <w:rPr>
        <w:color w:val="auto"/>
      </w:rPr>
    </w:tblStylePr>
    <w:tblStylePr w:type="band2Horz">
      <w:rPr>
        <w:color w:val="auto"/>
      </w:rPr>
    </w:tblStylePr>
    <w:tblStylePr w:type="swCell">
      <w:rPr>
        <w:b/>
        <w:bCs/>
      </w:rPr>
    </w:tblStylePr>
  </w:style>
  <w:style w:type="table" w:styleId="TableList3">
    <w:name w:val="Table List 3"/>
    <w:basedOn w:val="TableNormal"/>
    <w:semiHidden/>
    <w:rsid w:val="00D60081"/>
    <w:pPr>
      <w:spacing w:before="240" w:after="60"/>
    </w:pPr>
    <w:tblPr>
      <w:tblInd w:w="0" w:type="nil"/>
      <w:tblCellMar>
        <w:left w:w="0" w:type="dxa"/>
        <w:right w:w="0" w:type="dxa"/>
      </w:tblCellMar>
    </w:tblPr>
    <w:tcPr>
      <w:tcBorders>
        <w:top w:val="single" w:sz="12" w:space="0" w:color="000000"/>
        <w:bottom w:val="single" w:sz="12" w:space="0" w:color="000000"/>
      </w:tcBorders>
      <w:shd w:val="clear" w:color="auto" w:fill="auto"/>
    </w:tcPr>
    <w:tblStylePr w:type="firstRow">
      <w:rPr>
        <w:b/>
        <w:bCs/>
        <w:color w:val="000080"/>
      </w:rPr>
    </w:tblStylePr>
    <w:tblStylePr w:type="swCell">
      <w:rPr>
        <w:i/>
        <w:iCs/>
        <w:color w:val="000080"/>
      </w:rPr>
    </w:tblStylePr>
  </w:style>
  <w:style w:type="table" w:styleId="TableList4">
    <w:name w:val="Table List 4"/>
    <w:basedOn w:val="TableNormal"/>
    <w:semiHidden/>
    <w:rsid w:val="00D60081"/>
    <w:pPr>
      <w:spacing w:before="240" w:after="60"/>
    </w:pPr>
    <w:tblPr>
      <w:tblInd w:w="0" w:type="nil"/>
      <w:tblCellMar>
        <w:left w:w="0" w:type="dxa"/>
        <w:right w:w="0" w:type="dxa"/>
      </w:tblCellMar>
    </w:tblPr>
    <w:tblStylePr w:type="firstRow">
      <w:rPr>
        <w:b/>
        <w:bCs/>
        <w:color w:val="FFFFFF"/>
      </w:rPr>
    </w:tblStylePr>
  </w:style>
  <w:style w:type="table" w:styleId="TableList5">
    <w:name w:val="Table List 5"/>
    <w:basedOn w:val="TableNormal"/>
    <w:semiHidden/>
    <w:rsid w:val="00D60081"/>
    <w:pPr>
      <w:spacing w:before="240" w:after="60"/>
    </w:pPr>
    <w:tblPr>
      <w:tblInd w:w="0" w:type="nil"/>
      <w:tblCellMar>
        <w:left w:w="0" w:type="dxa"/>
        <w:right w:w="0" w:type="dxa"/>
      </w:tblCellMar>
    </w:tblPr>
    <w:tblStylePr w:type="firstRow">
      <w:rPr>
        <w:b/>
        <w:bCs/>
      </w:rPr>
    </w:tblStylePr>
    <w:tblStylePr w:type="firstCol">
      <w:rPr>
        <w:b/>
        <w:bCs/>
      </w:rPr>
    </w:tblStylePr>
  </w:style>
  <w:style w:type="table" w:styleId="TableList6">
    <w:name w:val="Table List 6"/>
    <w:basedOn w:val="TableNormal"/>
    <w:semiHidden/>
    <w:rsid w:val="00D60081"/>
    <w:pPr>
      <w:spacing w:before="240" w:after="60"/>
    </w:pPr>
    <w:tblPr>
      <w:tblInd w:w="0" w:type="nil"/>
      <w:tblCellMar>
        <w:left w:w="0" w:type="dxa"/>
        <w:right w:w="0" w:type="dxa"/>
      </w:tblCellMar>
    </w:tblPr>
    <w:tblStylePr w:type="firstRow">
      <w:rPr>
        <w:b/>
        <w:bCs/>
      </w:rPr>
    </w:tblStylePr>
    <w:tblStylePr w:type="firstCol">
      <w:rPr>
        <w:b/>
        <w:bCs/>
      </w:rPr>
    </w:tblStylePr>
  </w:style>
  <w:style w:type="table" w:styleId="TableList7">
    <w:name w:val="Table List 7"/>
    <w:basedOn w:val="TableNormal"/>
    <w:semiHidden/>
    <w:rsid w:val="00D60081"/>
    <w:pPr>
      <w:spacing w:before="240" w:after="60"/>
    </w:pPr>
    <w:tblPr>
      <w:tblStyleRowBandSize w:val="1"/>
      <w:tblInd w:w="0" w:type="nil"/>
      <w:tblCellMar>
        <w:left w:w="0" w:type="dxa"/>
        <w:right w:w="0" w:type="dxa"/>
      </w:tblCellMar>
    </w:tblPr>
    <w:tcPr>
      <w:tcBorders>
        <w:bottom w:val="single" w:sz="12" w:space="0" w:color="008000"/>
      </w:tcBorders>
      <w:shd w:val="pct20" w:color="000000" w:fill="FFFFFF"/>
    </w:tcPr>
    <w:tblStylePr w:type="firstRow">
      <w:rPr>
        <w:b/>
        <w:bCs/>
      </w:rPr>
    </w:tblStylePr>
    <w:tblStylePr w:type="lastRow">
      <w:rPr>
        <w:b/>
        <w:bCs/>
      </w:rPr>
    </w:tblStylePr>
    <w:tblStylePr w:type="firstCol">
      <w:rPr>
        <w:b/>
        <w:bCs/>
      </w:rPr>
    </w:tblStylePr>
    <w:tblStylePr w:type="lastCol">
      <w:rPr>
        <w:b/>
        <w:bCs/>
      </w:rPr>
    </w:tblStylePr>
    <w:tblStylePr w:type="band1Horz">
      <w:rPr>
        <w:color w:val="auto"/>
      </w:rPr>
    </w:tblStylePr>
    <w:tblStylePr w:type="swCell">
      <w:tblPr/>
      <w:tcPr>
        <w:tcBorders>
          <w:tl2br w:val="none" w:sz="0" w:space="0" w:color="auto"/>
        </w:tcBorders>
      </w:tcPr>
    </w:tblStylePr>
  </w:style>
  <w:style w:type="table" w:styleId="TableList8">
    <w:name w:val="Table List 8"/>
    <w:basedOn w:val="TableNormal"/>
    <w:semiHidden/>
    <w:rsid w:val="00D60081"/>
    <w:pPr>
      <w:spacing w:before="240" w:after="60"/>
    </w:pPr>
    <w:tblPr>
      <w:tblStyleRowBandSize w:val="1"/>
      <w:tblInd w:w="0" w:type="nil"/>
      <w:tblCellMar>
        <w:left w:w="0" w:type="dxa"/>
        <w:right w:w="0" w:type="dxa"/>
      </w:tblCellMar>
    </w:tblPr>
    <w:tcPr>
      <w:tcBorders>
        <w:top w:val="single" w:sz="6" w:space="0" w:color="000000"/>
        <w:bottom w:val="dashDotStroked" w:sz="0" w:space="22" w:color="003A56" w:shadow="1" w:frame="1"/>
        <w:insideH w:val="none" w:sz="23" w:space="0" w:color="3A565E"/>
        <w:tl2br w:val="none" w:sz="23" w:space="0" w:color="3A565E"/>
      </w:tcBorders>
      <w:shd w:val="pct25" w:color="FFFF00" w:fill="FFFFFF"/>
    </w:tcPr>
    <w:tblStylePr w:type="firstRow">
      <w:rPr>
        <w:b/>
        <w:bCs/>
        <w:i/>
        <w:iCs/>
      </w:rPr>
    </w:tblStylePr>
    <w:tblStylePr w:type="lastRow">
      <w:rPr>
        <w:b/>
        <w:bCs/>
      </w:rPr>
    </w:tblStylePr>
    <w:tblStylePr w:type="firstCol">
      <w:rPr>
        <w:b/>
        <w:bCs/>
      </w:rPr>
    </w:tblStylePr>
    <w:tblStylePr w:type="lastCol">
      <w:rPr>
        <w:b/>
        <w:bCs/>
      </w:rPr>
    </w:tblStylePr>
    <w:tblStylePr w:type="band1Horz">
      <w:rPr>
        <w:color w:val="auto"/>
      </w:rPr>
    </w:tblStylePr>
    <w:tblStylePr w:type="swCell">
      <w:tblPr/>
      <w:tcPr>
        <w:tcBorders>
          <w:tl2br w:val="none" w:sz="0" w:space="0" w:color="auto"/>
        </w:tcBorders>
      </w:tcPr>
    </w:tblStylePr>
  </w:style>
  <w:style w:type="table" w:styleId="TableProfessional">
    <w:name w:val="Table Professional"/>
    <w:basedOn w:val="TableNormal"/>
    <w:semiHidden/>
    <w:rsid w:val="00D60081"/>
    <w:pPr>
      <w:spacing w:before="240" w:after="60"/>
    </w:pPr>
    <w:tblPr>
      <w:tblInd w:w="0" w:type="nil"/>
      <w:tblCellMar>
        <w:left w:w="0" w:type="dxa"/>
        <w:right w:w="0" w:type="dxa"/>
      </w:tblCellMar>
    </w:tblPr>
    <w:tblStylePr w:type="firstRow">
      <w:rPr>
        <w:b/>
        <w:bCs/>
        <w:color w:val="auto"/>
      </w:rPr>
    </w:tblStylePr>
  </w:style>
  <w:style w:type="table" w:styleId="TableSimple1">
    <w:name w:val="Table Simple 1"/>
    <w:basedOn w:val="TableNormal"/>
    <w:semiHidden/>
    <w:rsid w:val="00D60081"/>
    <w:pPr>
      <w:spacing w:before="240" w:after="60"/>
    </w:pPr>
    <w:tblPr>
      <w:tblInd w:w="0" w:type="nil"/>
      <w:tblCellMar>
        <w:left w:w="0" w:type="dxa"/>
        <w:right w:w="0" w:type="dxa"/>
      </w:tblCellMar>
    </w:tblPr>
  </w:style>
  <w:style w:type="table" w:styleId="TableSimple2">
    <w:name w:val="Table Simple 2"/>
    <w:basedOn w:val="TableNormal"/>
    <w:semiHidden/>
    <w:rsid w:val="00D60081"/>
    <w:pPr>
      <w:spacing w:before="240" w:after="60"/>
    </w:pPr>
    <w:tblPr>
      <w:tblInd w:w="0" w:type="nil"/>
      <w:tblCellMar>
        <w:left w:w="0" w:type="dxa"/>
        <w:right w:w="0" w:type="dxa"/>
      </w:tblCellMar>
    </w:tblPr>
    <w:tblStylePr w:type="firstRow">
      <w:rPr>
        <w:b/>
        <w:bCs/>
      </w:rPr>
    </w:tblStylePr>
    <w:tblStylePr w:type="lastRow">
      <w:rPr>
        <w:b/>
        <w:bCs/>
        <w:color w:val="auto"/>
      </w:rPr>
    </w:tblStylePr>
    <w:tblStylePr w:type="firstCol">
      <w:rPr>
        <w:b/>
        <w:bCs/>
      </w:rPr>
    </w:tblStylePr>
    <w:tblStylePr w:type="lastCol">
      <w:rPr>
        <w:b/>
        <w:bCs/>
      </w:rPr>
    </w:tblStylePr>
    <w:tblStylePr w:type="neCell">
      <w:rPr>
        <w:b/>
        <w:bCs/>
      </w:rPr>
    </w:tblStylePr>
    <w:tblStylePr w:type="swCell">
      <w:rPr>
        <w:b/>
        <w:bCs/>
      </w:rPr>
    </w:tblStylePr>
  </w:style>
  <w:style w:type="table" w:styleId="TableSimple3">
    <w:name w:val="Table Simple 3"/>
    <w:basedOn w:val="TableNormal"/>
    <w:semiHidden/>
    <w:rsid w:val="00D60081"/>
    <w:pPr>
      <w:spacing w:before="240" w:after="60"/>
    </w:pPr>
    <w:tblPr>
      <w:tblInd w:w="0" w:type="nil"/>
      <w:tblCellMar>
        <w:left w:w="0" w:type="dxa"/>
        <w:right w:w="0" w:type="dxa"/>
      </w:tblCellMar>
    </w:tblPr>
    <w:tblStylePr w:type="firstRow">
      <w:rPr>
        <w:b/>
        <w:bCs/>
        <w:color w:val="FFFFFF"/>
      </w:rPr>
    </w:tblStylePr>
  </w:style>
  <w:style w:type="table" w:styleId="TableSubtle1">
    <w:name w:val="Table Subtle 1"/>
    <w:basedOn w:val="TableNormal"/>
    <w:semiHidden/>
    <w:rsid w:val="00D60081"/>
    <w:pPr>
      <w:spacing w:before="240" w:after="60"/>
    </w:pPr>
    <w:tblPr>
      <w:tblStyleRowBandSize w:val="1"/>
      <w:tblInd w:w="0" w:type="nil"/>
      <w:tblCellMar>
        <w:left w:w="0" w:type="dxa"/>
        <w:right w:w="0" w:type="dxa"/>
      </w:tblCellMar>
    </w:tblPr>
    <w:tcPr>
      <w:tcBorders>
        <w:bottom w:val="single" w:sz="12" w:space="0" w:color="008000"/>
        <w:insideH w:val="none" w:sz="23" w:space="0" w:color="3A565E"/>
        <w:insideV w:val="none" w:sz="101" w:space="23" w:color="00003A"/>
        <w:tl2br w:val="none" w:sz="23" w:space="0" w:color="3A565E"/>
        <w:tr2bl w:val="none" w:sz="101" w:space="23" w:color="00003A"/>
      </w:tcBorders>
      <w:shd w:val="pct25" w:color="800080" w:fill="FFFFFF"/>
    </w:tcPr>
    <w:tblStylePr w:type="neCell">
      <w:rPr>
        <w:b/>
        <w:bCs/>
      </w:rPr>
    </w:tblStylePr>
    <w:tblStylePr w:type="swCell">
      <w:rPr>
        <w:b/>
        <w:bCs/>
      </w:rPr>
      <w:tblPr/>
      <w:tcPr>
        <w:tcBorders>
          <w:tl2br w:val="none" w:sz="0" w:space="0" w:color="auto"/>
        </w:tcBorders>
      </w:tcPr>
    </w:tblStylePr>
  </w:style>
  <w:style w:type="table" w:styleId="TableSubtle2">
    <w:name w:val="Table Subtle 2"/>
    <w:basedOn w:val="TableNormal"/>
    <w:semiHidden/>
    <w:rsid w:val="00D60081"/>
    <w:pPr>
      <w:spacing w:before="240" w:after="60"/>
    </w:pPr>
    <w:tblPr>
      <w:tblInd w:w="0" w:type="nil"/>
      <w:tblCellMar>
        <w:left w:w="0" w:type="dxa"/>
        <w:right w:w="0" w:type="dxa"/>
      </w:tblCellMar>
    </w:tblPr>
    <w:tblStylePr w:type="neCell">
      <w:rPr>
        <w:b/>
        <w:bCs/>
      </w:rPr>
    </w:tblStylePr>
    <w:tblStylePr w:type="swCell">
      <w:rPr>
        <w:b/>
        <w:bCs/>
      </w:rPr>
    </w:tblStylePr>
  </w:style>
  <w:style w:type="table" w:styleId="TableTheme">
    <w:name w:val="Table Theme"/>
    <w:basedOn w:val="TableNormal"/>
    <w:semiHidden/>
    <w:rsid w:val="00D60081"/>
    <w:pPr>
      <w:spacing w:before="240" w:after="60"/>
    </w:pPr>
    <w:tblPr>
      <w:tblInd w:w="0" w:type="nil"/>
      <w:tblCellMar>
        <w:left w:w="0" w:type="dxa"/>
        <w:right w:w="0" w:type="dxa"/>
      </w:tblCellMar>
    </w:tblPr>
  </w:style>
  <w:style w:type="table" w:styleId="TableWeb1">
    <w:name w:val="Table Web 1"/>
    <w:basedOn w:val="TableNormal"/>
    <w:semiHidden/>
    <w:rsid w:val="00D60081"/>
    <w:pPr>
      <w:spacing w:before="240" w:after="60"/>
    </w:pPr>
    <w:tblPr>
      <w:tblInd w:w="0" w:type="nil"/>
      <w:tblCellMar>
        <w:left w:w="0" w:type="dxa"/>
        <w:right w:w="0" w:type="dxa"/>
      </w:tblCellMar>
    </w:tblPr>
    <w:tblStylePr w:type="firstRow">
      <w:rPr>
        <w:color w:val="auto"/>
      </w:rPr>
    </w:tblStylePr>
  </w:style>
  <w:style w:type="table" w:styleId="TableWeb2">
    <w:name w:val="Table Web 2"/>
    <w:basedOn w:val="TableNormal"/>
    <w:semiHidden/>
    <w:rsid w:val="00D60081"/>
    <w:pPr>
      <w:spacing w:before="240" w:after="60"/>
    </w:pPr>
    <w:tblPr>
      <w:tblInd w:w="0" w:type="nil"/>
      <w:tblCellMar>
        <w:left w:w="0" w:type="dxa"/>
        <w:right w:w="0" w:type="dxa"/>
      </w:tblCellMar>
    </w:tblPr>
    <w:tblStylePr w:type="firstRow">
      <w:rPr>
        <w:color w:val="auto"/>
      </w:rPr>
    </w:tblStylePr>
  </w:style>
  <w:style w:type="table" w:styleId="TableWeb3">
    <w:name w:val="Table Web 3"/>
    <w:basedOn w:val="TableNormal"/>
    <w:semiHidden/>
    <w:rsid w:val="00D60081"/>
    <w:pPr>
      <w:spacing w:before="240" w:after="60"/>
    </w:pPr>
    <w:tblPr>
      <w:tblInd w:w="0" w:type="nil"/>
      <w:tblCellMar>
        <w:left w:w="0" w:type="dxa"/>
        <w:right w:w="0" w:type="dxa"/>
      </w:tblCellMar>
    </w:tblPr>
    <w:tblStylePr w:type="firstRow">
      <w:rPr>
        <w:color w:val="auto"/>
      </w:rPr>
    </w:tblStylePr>
  </w:style>
  <w:style w:type="paragraph" w:styleId="List2">
    <w:name w:val="List 2"/>
    <w:basedOn w:val="Normal"/>
    <w:uiPriority w:val="99"/>
    <w:semiHidden/>
    <w:rsid w:val="00D60081"/>
    <w:pPr>
      <w:ind w:left="566" w:hanging="283"/>
    </w:pPr>
  </w:style>
  <w:style w:type="paragraph" w:styleId="List">
    <w:name w:val="List"/>
    <w:basedOn w:val="Normal"/>
    <w:uiPriority w:val="99"/>
    <w:semiHidden/>
    <w:rsid w:val="00D60081"/>
    <w:pPr>
      <w:ind w:left="283" w:hanging="283"/>
    </w:pPr>
  </w:style>
  <w:style w:type="paragraph" w:styleId="List3">
    <w:name w:val="List 3"/>
    <w:uiPriority w:val="99"/>
    <w:semiHidden/>
    <w:rsid w:val="002C48F8"/>
    <w:pPr>
      <w:numPr>
        <w:numId w:val="4"/>
      </w:numPr>
    </w:pPr>
    <w:rPr>
      <w:rFonts w:ascii="Arial" w:hAnsi="Arial"/>
      <w:sz w:val="21"/>
      <w:szCs w:val="21"/>
      <w:lang w:eastAsia="en-GB"/>
    </w:rPr>
  </w:style>
  <w:style w:type="paragraph" w:customStyle="1" w:styleId="CS-IBMHeader">
    <w:name w:val="CS-IBM Header"/>
    <w:qFormat/>
    <w:rsid w:val="003E58D5"/>
    <w:pPr>
      <w:pBdr>
        <w:bottom w:val="single" w:sz="12" w:space="4" w:color="808080" w:themeColor="background1" w:themeShade="80"/>
      </w:pBdr>
      <w:spacing w:after="120"/>
    </w:pPr>
    <w:rPr>
      <w:rFonts w:ascii="Century Gothic" w:hAnsi="Century Gothic" w:cs="Arial"/>
      <w:noProof/>
      <w:color w:val="0E3152"/>
      <w:sz w:val="18"/>
      <w:szCs w:val="16"/>
      <w:lang w:eastAsia="en-GB"/>
    </w:rPr>
  </w:style>
  <w:style w:type="table" w:customStyle="1" w:styleId="BasicTable">
    <w:name w:val="Basic Table"/>
    <w:basedOn w:val="TableNormal"/>
    <w:rsid w:val="00CE62DF"/>
    <w:pPr>
      <w:widowControl w:val="0"/>
      <w:adjustRightInd w:val="0"/>
      <w:spacing w:before="120" w:after="120"/>
      <w:textAlignment w:val="baseline"/>
    </w:pPr>
    <w:rPr>
      <w:rFonts w:ascii="Arial" w:eastAsia="MS Mincho" w:hAnsi="Arial"/>
      <w:sz w:val="18"/>
    </w:rPr>
    <w:tblPr>
      <w:tblInd w:w="0" w:type="nil"/>
      <w:tblCellMar>
        <w:left w:w="0" w:type="dxa"/>
        <w:right w:w="0" w:type="dxa"/>
      </w:tblCellMar>
    </w:tblPr>
    <w:tblStylePr w:type="firstRow">
      <w:rPr>
        <w:rFonts w:ascii="Century Gothic" w:hAnsi="Century Gothic"/>
        <w:b/>
        <w:bCs/>
        <w:i w:val="0"/>
        <w:color w:val="333333"/>
        <w:sz w:val="20"/>
      </w:rPr>
    </w:tblStylePr>
    <w:tblStylePr w:type="lastRow">
      <w:rPr>
        <w:rFonts w:ascii="Century Gothic" w:hAnsi="Century Gothic"/>
        <w:b/>
        <w:i w:val="0"/>
        <w:color w:val="auto"/>
        <w:sz w:val="20"/>
      </w:rPr>
    </w:tblStylePr>
    <w:tblStylePr w:type="swCell">
      <w:rPr>
        <w:rFonts w:ascii="Century Gothic" w:hAnsi="Century Gothic"/>
        <w:b/>
        <w:i/>
        <w:iCs/>
        <w:color w:val="auto"/>
        <w:sz w:val="20"/>
      </w:rPr>
    </w:tblStylePr>
  </w:style>
  <w:style w:type="character" w:styleId="Strong">
    <w:name w:val="Strong"/>
    <w:uiPriority w:val="22"/>
    <w:qFormat/>
    <w:locked/>
    <w:rsid w:val="00197132"/>
    <w:rPr>
      <w:b/>
      <w:bCs/>
    </w:rPr>
  </w:style>
  <w:style w:type="paragraph" w:styleId="TableofFigures">
    <w:name w:val="table of figures"/>
    <w:basedOn w:val="CS-IBMResponseText"/>
    <w:next w:val="CS-IBMResponseText"/>
    <w:uiPriority w:val="99"/>
    <w:rsid w:val="00B03463"/>
    <w:pPr>
      <w:spacing w:before="180" w:after="60"/>
    </w:pPr>
  </w:style>
  <w:style w:type="paragraph" w:customStyle="1" w:styleId="CS-IBMTOCforTOCTitleonly">
    <w:name w:val="CS-IBM TOC (for TOC Title only)"/>
    <w:qFormat/>
    <w:rsid w:val="00A753DD"/>
    <w:pPr>
      <w:jc w:val="center"/>
    </w:pPr>
    <w:rPr>
      <w:rFonts w:ascii="Arial" w:hAnsi="Arial" w:cs="Arial"/>
      <w:color w:val="0070C0"/>
      <w:sz w:val="44"/>
      <w:szCs w:val="44"/>
      <w:lang w:eastAsia="en-GB"/>
    </w:rPr>
  </w:style>
  <w:style w:type="paragraph" w:styleId="TOC1">
    <w:name w:val="toc 1"/>
    <w:basedOn w:val="CS-IBMResponseText"/>
    <w:next w:val="CS-IBMResponseText"/>
    <w:uiPriority w:val="39"/>
    <w:qFormat/>
    <w:rsid w:val="001B3A39"/>
    <w:pPr>
      <w:tabs>
        <w:tab w:val="left" w:pos="360"/>
        <w:tab w:val="right" w:leader="dot" w:pos="9361"/>
      </w:tabs>
      <w:ind w:left="360" w:hanging="360"/>
      <w:jc w:val="both"/>
    </w:pPr>
    <w:rPr>
      <w:b/>
      <w:noProof/>
      <w:color w:val="106288"/>
    </w:rPr>
  </w:style>
  <w:style w:type="paragraph" w:styleId="TOC2">
    <w:name w:val="toc 2"/>
    <w:basedOn w:val="TOC1"/>
    <w:uiPriority w:val="39"/>
    <w:qFormat/>
    <w:rsid w:val="004B5B02"/>
    <w:pPr>
      <w:spacing w:before="0" w:after="0"/>
      <w:ind w:left="1077" w:hanging="720"/>
    </w:pPr>
    <w:rPr>
      <w:b w:val="0"/>
      <w:color w:val="auto"/>
    </w:rPr>
  </w:style>
  <w:style w:type="paragraph" w:styleId="TOC3">
    <w:name w:val="toc 3"/>
    <w:basedOn w:val="TOC2"/>
    <w:uiPriority w:val="39"/>
    <w:qFormat/>
    <w:rsid w:val="001B3A39"/>
    <w:pPr>
      <w:tabs>
        <w:tab w:val="left" w:leader="dot" w:pos="1800"/>
      </w:tabs>
      <w:ind w:left="1800"/>
    </w:pPr>
    <w:rPr>
      <w:lang w:val="en-GB"/>
    </w:rPr>
  </w:style>
  <w:style w:type="paragraph" w:styleId="TOC4">
    <w:name w:val="toc 4"/>
    <w:basedOn w:val="TOC3"/>
    <w:uiPriority w:val="39"/>
    <w:rsid w:val="004B5B02"/>
    <w:pPr>
      <w:ind w:left="1792" w:hanging="357"/>
    </w:pPr>
  </w:style>
  <w:style w:type="paragraph" w:styleId="TOC5">
    <w:name w:val="toc 5"/>
    <w:basedOn w:val="TOC3"/>
    <w:next w:val="Normal"/>
    <w:uiPriority w:val="99"/>
    <w:semiHidden/>
    <w:rsid w:val="00D60081"/>
  </w:style>
  <w:style w:type="paragraph" w:styleId="TOC6">
    <w:name w:val="toc 6"/>
    <w:basedOn w:val="TOC5"/>
    <w:next w:val="Normal"/>
    <w:uiPriority w:val="99"/>
    <w:semiHidden/>
    <w:rsid w:val="00D60081"/>
  </w:style>
  <w:style w:type="paragraph" w:styleId="TOC7">
    <w:name w:val="toc 7"/>
    <w:basedOn w:val="TOC5"/>
    <w:next w:val="Normal"/>
    <w:uiPriority w:val="99"/>
    <w:semiHidden/>
    <w:rsid w:val="00D60081"/>
  </w:style>
  <w:style w:type="paragraph" w:styleId="TOC8">
    <w:name w:val="toc 8"/>
    <w:basedOn w:val="TOC5"/>
    <w:next w:val="Normal"/>
    <w:uiPriority w:val="99"/>
    <w:semiHidden/>
    <w:rsid w:val="00D60081"/>
  </w:style>
  <w:style w:type="paragraph" w:styleId="TOC9">
    <w:name w:val="toc 9"/>
    <w:basedOn w:val="TOC5"/>
    <w:next w:val="Normal"/>
    <w:uiPriority w:val="99"/>
    <w:semiHidden/>
    <w:rsid w:val="00D60081"/>
  </w:style>
  <w:style w:type="character" w:styleId="EndnoteReference">
    <w:name w:val="endnote reference"/>
    <w:uiPriority w:val="99"/>
    <w:semiHidden/>
    <w:rsid w:val="00D60081"/>
    <w:rPr>
      <w:rFonts w:ascii="Arial Bold" w:hAnsi="Arial Bold"/>
      <w:b/>
      <w:sz w:val="18"/>
      <w:szCs w:val="18"/>
      <w:vertAlign w:val="superscript"/>
    </w:rPr>
  </w:style>
  <w:style w:type="paragraph" w:styleId="EndnoteText">
    <w:name w:val="endnote text"/>
    <w:basedOn w:val="Normal"/>
    <w:uiPriority w:val="99"/>
    <w:rsid w:val="00E318B7"/>
    <w:pPr>
      <w:spacing w:before="240"/>
    </w:pPr>
    <w:rPr>
      <w:i/>
      <w:sz w:val="16"/>
      <w:szCs w:val="16"/>
    </w:rPr>
  </w:style>
  <w:style w:type="character" w:styleId="FootnoteReference">
    <w:name w:val="footnote reference"/>
    <w:uiPriority w:val="99"/>
    <w:semiHidden/>
    <w:rsid w:val="00D60081"/>
    <w:rPr>
      <w:rFonts w:ascii="Arial Bold" w:hAnsi="Arial Bold"/>
      <w:b/>
      <w:sz w:val="18"/>
      <w:szCs w:val="18"/>
      <w:vertAlign w:val="superscript"/>
    </w:rPr>
  </w:style>
  <w:style w:type="paragraph" w:styleId="FootnoteText">
    <w:name w:val="footnote text"/>
    <w:basedOn w:val="Normal"/>
    <w:uiPriority w:val="99"/>
    <w:rsid w:val="00E318B7"/>
    <w:pPr>
      <w:spacing w:before="240"/>
    </w:pPr>
    <w:rPr>
      <w:i/>
      <w:sz w:val="16"/>
      <w:szCs w:val="16"/>
    </w:rPr>
  </w:style>
  <w:style w:type="paragraph" w:styleId="MacroText">
    <w:name w:val="macro"/>
    <w:link w:val="MacroTextChar"/>
    <w:uiPriority w:val="99"/>
    <w:semiHidden/>
    <w:unhideWhenUsed/>
    <w:rsid w:val="00BF0F53"/>
    <w:pPr>
      <w:tabs>
        <w:tab w:val="left" w:pos="480"/>
        <w:tab w:val="left" w:pos="960"/>
        <w:tab w:val="left" w:pos="1440"/>
        <w:tab w:val="left" w:pos="1920"/>
        <w:tab w:val="left" w:pos="2400"/>
        <w:tab w:val="left" w:pos="2880"/>
        <w:tab w:val="left" w:pos="3360"/>
        <w:tab w:val="left" w:pos="3840"/>
        <w:tab w:val="left" w:pos="4320"/>
      </w:tabs>
      <w:spacing w:before="120" w:after="120"/>
    </w:pPr>
    <w:rPr>
      <w:rFonts w:ascii="Courier New" w:hAnsi="Courier New" w:cs="Courier New"/>
      <w:lang w:eastAsia="en-GB"/>
    </w:rPr>
  </w:style>
  <w:style w:type="character" w:customStyle="1" w:styleId="MacroTextChar">
    <w:name w:val="Macro Text Char"/>
    <w:link w:val="MacroText"/>
    <w:uiPriority w:val="99"/>
    <w:semiHidden/>
    <w:rsid w:val="000E0AF2"/>
    <w:rPr>
      <w:rFonts w:ascii="Courier New" w:hAnsi="Courier New" w:cs="Courier New"/>
      <w:lang w:eastAsia="en-GB"/>
    </w:rPr>
  </w:style>
  <w:style w:type="paragraph" w:customStyle="1" w:styleId="CS-RFPBodyText">
    <w:name w:val="CS-RFP Body Text"/>
    <w:basedOn w:val="CS-IBMResponseText"/>
    <w:link w:val="CS-RFPBodyTextChar"/>
    <w:qFormat/>
    <w:rsid w:val="00464519"/>
    <w:rPr>
      <w:color w:val="0070C0"/>
    </w:rPr>
  </w:style>
  <w:style w:type="paragraph" w:customStyle="1" w:styleId="CS-RFPBullet1">
    <w:name w:val="CS-RFP Bullet 1"/>
    <w:basedOn w:val="CS-IBMBullet1"/>
    <w:link w:val="CS-RFPBullet1Char"/>
    <w:qFormat/>
    <w:rsid w:val="00464519"/>
    <w:pPr>
      <w:numPr>
        <w:numId w:val="6"/>
      </w:numPr>
    </w:pPr>
    <w:rPr>
      <w:color w:val="0070C0"/>
    </w:rPr>
  </w:style>
  <w:style w:type="paragraph" w:customStyle="1" w:styleId="CS-RFPBullet2">
    <w:name w:val="CS-RFP Bullet 2"/>
    <w:basedOn w:val="CS-RFPBullet1"/>
    <w:link w:val="CS-RFPBullet2Char"/>
    <w:qFormat/>
    <w:rsid w:val="00464519"/>
    <w:pPr>
      <w:numPr>
        <w:numId w:val="9"/>
      </w:numPr>
      <w:ind w:left="714" w:hanging="357"/>
    </w:pPr>
  </w:style>
  <w:style w:type="paragraph" w:customStyle="1" w:styleId="CS-RFPBullet3">
    <w:name w:val="CS-RFP Bullet 3"/>
    <w:basedOn w:val="CS-RFPBullet2"/>
    <w:link w:val="CS-RFPBullet3Char"/>
    <w:qFormat/>
    <w:rsid w:val="00B03463"/>
    <w:pPr>
      <w:numPr>
        <w:numId w:val="8"/>
      </w:numPr>
    </w:pPr>
  </w:style>
  <w:style w:type="paragraph" w:customStyle="1" w:styleId="CS-RFPBullet4">
    <w:name w:val="CS-RFP Bullet 4"/>
    <w:basedOn w:val="CS-RFPBullet3"/>
    <w:link w:val="CS-RFPBullet4Char"/>
    <w:qFormat/>
    <w:rsid w:val="00B03463"/>
    <w:pPr>
      <w:numPr>
        <w:numId w:val="10"/>
      </w:numPr>
    </w:pPr>
  </w:style>
  <w:style w:type="paragraph" w:customStyle="1" w:styleId="CS-RFPBullet5">
    <w:name w:val="CS-RFP Bullet 5"/>
    <w:basedOn w:val="CS-RFPBullet4"/>
    <w:link w:val="CS-RFPBullet5Char"/>
    <w:qFormat/>
    <w:rsid w:val="00464519"/>
    <w:pPr>
      <w:numPr>
        <w:numId w:val="5"/>
      </w:numPr>
    </w:pPr>
  </w:style>
  <w:style w:type="paragraph" w:customStyle="1" w:styleId="DividerPageText">
    <w:name w:val="Divider Page Text"/>
    <w:basedOn w:val="Normal"/>
    <w:uiPriority w:val="99"/>
    <w:qFormat/>
    <w:rsid w:val="00A56FE9"/>
    <w:pPr>
      <w:spacing w:before="120" w:after="120"/>
      <w:ind w:left="90" w:hanging="90"/>
      <w:jc w:val="center"/>
    </w:pPr>
    <w:rPr>
      <w:rFonts w:ascii="Calibri Light" w:hAnsi="Calibri Light" w:cs="Arial"/>
      <w:color w:val="FFFFFF"/>
      <w:sz w:val="64"/>
      <w:szCs w:val="64"/>
    </w:rPr>
  </w:style>
  <w:style w:type="paragraph" w:customStyle="1" w:styleId="CS-ThemeStatementText">
    <w:name w:val="CS-Theme Statement Text"/>
    <w:basedOn w:val="Normal"/>
    <w:qFormat/>
    <w:rsid w:val="001B3A39"/>
    <w:pPr>
      <w:spacing w:before="240" w:after="0"/>
      <w:jc w:val="center"/>
    </w:pPr>
    <w:rPr>
      <w:rFonts w:cs="Arial"/>
      <w:i/>
      <w:iCs/>
      <w:color w:val="348180"/>
      <w:sz w:val="28"/>
      <w:szCs w:val="25"/>
    </w:rPr>
  </w:style>
  <w:style w:type="paragraph" w:customStyle="1" w:styleId="CS-IBMTableText">
    <w:name w:val="CS-IBM Table Text"/>
    <w:basedOn w:val="CS-IBMResponseText"/>
    <w:qFormat/>
    <w:rsid w:val="00464519"/>
    <w:pPr>
      <w:spacing w:before="60" w:after="60"/>
    </w:pPr>
    <w:rPr>
      <w:color w:val="000000" w:themeColor="text1"/>
    </w:rPr>
  </w:style>
  <w:style w:type="paragraph" w:customStyle="1" w:styleId="CS-IBMTableBullet">
    <w:name w:val="CS-IBM Table Bullet"/>
    <w:basedOn w:val="CS-IBMBullet1"/>
    <w:qFormat/>
    <w:rsid w:val="00464519"/>
    <w:pPr>
      <w:numPr>
        <w:numId w:val="16"/>
      </w:numPr>
      <w:ind w:left="357" w:hanging="357"/>
    </w:pPr>
  </w:style>
  <w:style w:type="character" w:styleId="CommentReference">
    <w:name w:val="annotation reference"/>
    <w:uiPriority w:val="99"/>
    <w:semiHidden/>
    <w:unhideWhenUsed/>
    <w:rsid w:val="00B13498"/>
    <w:rPr>
      <w:sz w:val="18"/>
      <w:szCs w:val="18"/>
    </w:rPr>
  </w:style>
  <w:style w:type="paragraph" w:styleId="CommentText">
    <w:name w:val="annotation text"/>
    <w:basedOn w:val="Normal"/>
    <w:link w:val="CommentTextChar"/>
    <w:uiPriority w:val="99"/>
    <w:unhideWhenUsed/>
    <w:rsid w:val="00B13498"/>
    <w:rPr>
      <w:sz w:val="24"/>
      <w:szCs w:val="24"/>
    </w:rPr>
  </w:style>
  <w:style w:type="character" w:customStyle="1" w:styleId="CommentTextChar">
    <w:name w:val="Comment Text Char"/>
    <w:link w:val="CommentText"/>
    <w:uiPriority w:val="99"/>
    <w:rsid w:val="000E0AF2"/>
    <w:rPr>
      <w:rFonts w:ascii="Arial" w:hAnsi="Arial"/>
      <w:color w:val="42474C"/>
      <w:sz w:val="24"/>
      <w:szCs w:val="24"/>
      <w:lang w:eastAsia="en-GB"/>
    </w:rPr>
  </w:style>
  <w:style w:type="paragraph" w:styleId="CommentSubject">
    <w:name w:val="annotation subject"/>
    <w:basedOn w:val="CommentText"/>
    <w:next w:val="CommentText"/>
    <w:link w:val="CommentSubjectChar"/>
    <w:uiPriority w:val="99"/>
    <w:semiHidden/>
    <w:unhideWhenUsed/>
    <w:rsid w:val="00B13498"/>
    <w:rPr>
      <w:b/>
      <w:bCs/>
      <w:sz w:val="20"/>
      <w:szCs w:val="20"/>
    </w:rPr>
  </w:style>
  <w:style w:type="character" w:customStyle="1" w:styleId="CommentSubjectChar">
    <w:name w:val="Comment Subject Char"/>
    <w:link w:val="CommentSubject"/>
    <w:uiPriority w:val="99"/>
    <w:semiHidden/>
    <w:rsid w:val="000E0AF2"/>
    <w:rPr>
      <w:rFonts w:ascii="Arial" w:hAnsi="Arial"/>
      <w:b/>
      <w:bCs/>
      <w:color w:val="42474C"/>
      <w:lang w:eastAsia="en-GB"/>
    </w:rPr>
  </w:style>
  <w:style w:type="paragraph" w:styleId="BalloonText">
    <w:name w:val="Balloon Text"/>
    <w:basedOn w:val="Normal"/>
    <w:link w:val="BalloonTextChar"/>
    <w:uiPriority w:val="99"/>
    <w:semiHidden/>
    <w:unhideWhenUsed/>
    <w:rsid w:val="00B13498"/>
    <w:pPr>
      <w:spacing w:before="0" w:after="0"/>
    </w:pPr>
    <w:rPr>
      <w:rFonts w:ascii="Times New Roman" w:hAnsi="Times New Roman"/>
      <w:sz w:val="18"/>
      <w:szCs w:val="18"/>
    </w:rPr>
  </w:style>
  <w:style w:type="character" w:customStyle="1" w:styleId="BalloonTextChar">
    <w:name w:val="Balloon Text Char"/>
    <w:link w:val="BalloonText"/>
    <w:uiPriority w:val="99"/>
    <w:semiHidden/>
    <w:rsid w:val="000E0AF2"/>
    <w:rPr>
      <w:color w:val="42474C"/>
      <w:sz w:val="18"/>
      <w:szCs w:val="18"/>
      <w:lang w:eastAsia="en-GB"/>
    </w:rPr>
  </w:style>
  <w:style w:type="paragraph" w:styleId="TOCHeading">
    <w:name w:val="TOC Heading"/>
    <w:basedOn w:val="Heading1"/>
    <w:next w:val="Normal"/>
    <w:uiPriority w:val="99"/>
    <w:semiHidden/>
    <w:unhideWhenUsed/>
    <w:qFormat/>
    <w:rsid w:val="0033139A"/>
    <w:pPr>
      <w:keepLines/>
      <w:pageBreakBefore w:val="0"/>
      <w:tabs>
        <w:tab w:val="clear" w:pos="0"/>
        <w:tab w:val="clear" w:pos="720"/>
      </w:tabs>
      <w:spacing w:before="480" w:after="0" w:line="276" w:lineRule="auto"/>
      <w:jc w:val="left"/>
      <w:outlineLvl w:val="9"/>
    </w:pPr>
    <w:rPr>
      <w:rFonts w:ascii="Cambria" w:hAnsi="Cambria" w:cs="Times New Roman"/>
      <w:b w:val="0"/>
      <w:bCs/>
      <w:color w:val="002F4E"/>
      <w:sz w:val="28"/>
      <w:szCs w:val="28"/>
      <w:lang w:eastAsia="ja-JP"/>
    </w:rPr>
  </w:style>
  <w:style w:type="paragraph" w:customStyle="1" w:styleId="CS-RFPNumber4">
    <w:name w:val="CS-RFP Number 4"/>
    <w:basedOn w:val="CS-RFPNumber3"/>
    <w:link w:val="CS-RFPNumber4Char"/>
    <w:qFormat/>
    <w:rsid w:val="00B03463"/>
    <w:pPr>
      <w:ind w:left="1434"/>
    </w:pPr>
  </w:style>
  <w:style w:type="paragraph" w:styleId="ListBullet">
    <w:name w:val="List Bullet"/>
    <w:basedOn w:val="Normal"/>
    <w:uiPriority w:val="99"/>
    <w:semiHidden/>
    <w:unhideWhenUsed/>
    <w:qFormat/>
    <w:rsid w:val="009A2739"/>
    <w:pPr>
      <w:numPr>
        <w:numId w:val="7"/>
      </w:numPr>
      <w:contextualSpacing/>
    </w:pPr>
  </w:style>
  <w:style w:type="paragraph" w:customStyle="1" w:styleId="CS-RFPNumber1">
    <w:name w:val="CS-RFP Number 1"/>
    <w:basedOn w:val="CS-IBMNumber1"/>
    <w:link w:val="CS-RFPNumber1Char"/>
    <w:autoRedefine/>
    <w:qFormat/>
    <w:rsid w:val="00B03463"/>
    <w:rPr>
      <w:color w:val="0070C0"/>
    </w:rPr>
  </w:style>
  <w:style w:type="character" w:customStyle="1" w:styleId="CS-RFPNumber4Char">
    <w:name w:val="CS-RFP Number 4 Char"/>
    <w:link w:val="CS-RFPNumber4"/>
    <w:rsid w:val="00B03463"/>
    <w:rPr>
      <w:rFonts w:ascii="Arial" w:hAnsi="Arial" w:cs="Arial"/>
      <w:color w:val="0070C0"/>
      <w:sz w:val="22"/>
      <w:szCs w:val="21"/>
      <w:lang w:eastAsia="en-GB"/>
    </w:rPr>
  </w:style>
  <w:style w:type="paragraph" w:customStyle="1" w:styleId="CS-RFPNumber2">
    <w:name w:val="CS-RFP Number 2"/>
    <w:basedOn w:val="CS-RFPNumber1"/>
    <w:link w:val="CS-RFPNumber2Char"/>
    <w:qFormat/>
    <w:rsid w:val="00B03463"/>
    <w:pPr>
      <w:ind w:left="714"/>
    </w:pPr>
  </w:style>
  <w:style w:type="character" w:customStyle="1" w:styleId="CS-RFPNumber1Char">
    <w:name w:val="CS-RFP Number 1 Char"/>
    <w:link w:val="CS-RFPNumber1"/>
    <w:rsid w:val="00B03463"/>
    <w:rPr>
      <w:rFonts w:ascii="Arial" w:hAnsi="Arial" w:cs="Arial"/>
      <w:color w:val="0070C0"/>
      <w:sz w:val="22"/>
      <w:szCs w:val="21"/>
      <w:lang w:eastAsia="en-GB"/>
    </w:rPr>
  </w:style>
  <w:style w:type="paragraph" w:customStyle="1" w:styleId="CS-RFPNumber3">
    <w:name w:val="CS-RFP Number 3"/>
    <w:basedOn w:val="CS-RFPNumber2"/>
    <w:link w:val="CS-RFPNumber3Char"/>
    <w:qFormat/>
    <w:rsid w:val="00B03463"/>
    <w:pPr>
      <w:ind w:left="1077"/>
    </w:pPr>
  </w:style>
  <w:style w:type="character" w:customStyle="1" w:styleId="CS-RFPNumber2Char">
    <w:name w:val="CS-RFP Number 2 Char"/>
    <w:link w:val="CS-RFPNumber2"/>
    <w:rsid w:val="00B03463"/>
    <w:rPr>
      <w:rFonts w:ascii="Arial" w:hAnsi="Arial" w:cs="Arial"/>
      <w:color w:val="0070C0"/>
      <w:sz w:val="22"/>
      <w:szCs w:val="21"/>
      <w:lang w:eastAsia="en-GB"/>
    </w:rPr>
  </w:style>
  <w:style w:type="paragraph" w:customStyle="1" w:styleId="CS-RFPNumber5">
    <w:name w:val="CS-RFP Number 5"/>
    <w:basedOn w:val="CS-RFPNumber4"/>
    <w:link w:val="CS-RFPNumber5Char"/>
    <w:qFormat/>
    <w:rsid w:val="00B03463"/>
    <w:pPr>
      <w:ind w:left="1707" w:hanging="272"/>
    </w:pPr>
  </w:style>
  <w:style w:type="character" w:customStyle="1" w:styleId="CS-RFPNumber3Char">
    <w:name w:val="CS-RFP Number 3 Char"/>
    <w:link w:val="CS-RFPNumber3"/>
    <w:rsid w:val="00B03463"/>
    <w:rPr>
      <w:rFonts w:ascii="Arial" w:hAnsi="Arial" w:cs="Arial"/>
      <w:color w:val="0070C0"/>
      <w:sz w:val="22"/>
      <w:szCs w:val="21"/>
      <w:lang w:eastAsia="en-GB"/>
    </w:rPr>
  </w:style>
  <w:style w:type="character" w:customStyle="1" w:styleId="CS-RFPNumber5Char">
    <w:name w:val="CS-RFP Number 5 Char"/>
    <w:link w:val="CS-RFPNumber5"/>
    <w:rsid w:val="00B03463"/>
    <w:rPr>
      <w:rFonts w:ascii="Arial" w:hAnsi="Arial" w:cs="Arial"/>
      <w:color w:val="0070C0"/>
      <w:sz w:val="22"/>
      <w:szCs w:val="21"/>
      <w:lang w:eastAsia="en-GB"/>
    </w:rPr>
  </w:style>
  <w:style w:type="paragraph" w:customStyle="1" w:styleId="CS-IBMBullet1">
    <w:name w:val="CS- IBM Bullet 1"/>
    <w:basedOn w:val="CS-IBMResponseText"/>
    <w:link w:val="CS-IBMBullet1Char"/>
    <w:qFormat/>
    <w:rsid w:val="00ED06D6"/>
    <w:pPr>
      <w:numPr>
        <w:numId w:val="11"/>
      </w:numPr>
      <w:spacing w:before="60" w:after="60"/>
      <w:ind w:left="357" w:hanging="357"/>
    </w:pPr>
    <w:rPr>
      <w:color w:val="000000" w:themeColor="text1"/>
    </w:rPr>
  </w:style>
  <w:style w:type="paragraph" w:customStyle="1" w:styleId="CS-IBMBullet2">
    <w:name w:val="CS-IBM Bullet 2"/>
    <w:basedOn w:val="CS-IBMBullet1"/>
    <w:link w:val="CS-IBMBullet2Char"/>
    <w:qFormat/>
    <w:rsid w:val="00ED06D6"/>
    <w:pPr>
      <w:numPr>
        <w:numId w:val="12"/>
      </w:numPr>
      <w:ind w:left="714" w:hanging="357"/>
    </w:pPr>
  </w:style>
  <w:style w:type="character" w:customStyle="1" w:styleId="CS-RFPBullet1Char">
    <w:name w:val="CS-RFP Bullet 1 Char"/>
    <w:link w:val="CS-RFPBullet1"/>
    <w:rsid w:val="00464519"/>
    <w:rPr>
      <w:rFonts w:ascii="Century Gothic" w:hAnsi="Century Gothic" w:cs="Arial"/>
      <w:color w:val="0070C0"/>
      <w:sz w:val="22"/>
      <w:szCs w:val="21"/>
      <w:lang w:eastAsia="en-GB"/>
    </w:rPr>
  </w:style>
  <w:style w:type="character" w:customStyle="1" w:styleId="CS-IBMBullet1Char">
    <w:name w:val="CS- IBM Bullet 1 Char"/>
    <w:link w:val="CS-IBMBullet1"/>
    <w:rsid w:val="00ED06D6"/>
    <w:rPr>
      <w:rFonts w:ascii="Century Gothic" w:hAnsi="Century Gothic" w:cs="Arial"/>
      <w:color w:val="000000" w:themeColor="text1"/>
      <w:sz w:val="22"/>
      <w:szCs w:val="21"/>
      <w:lang w:eastAsia="en-GB"/>
    </w:rPr>
  </w:style>
  <w:style w:type="paragraph" w:customStyle="1" w:styleId="CS-IBMBullet3">
    <w:name w:val="CS-IBM Bullet 3"/>
    <w:basedOn w:val="CS-IBMBullet2"/>
    <w:link w:val="CS-IBMBullet3Char"/>
    <w:qFormat/>
    <w:rsid w:val="00ED06D6"/>
    <w:pPr>
      <w:numPr>
        <w:numId w:val="13"/>
      </w:numPr>
    </w:pPr>
  </w:style>
  <w:style w:type="character" w:customStyle="1" w:styleId="CS-RFPBullet2Char">
    <w:name w:val="CS-RFP Bullet 2 Char"/>
    <w:link w:val="CS-RFPBullet2"/>
    <w:rsid w:val="00464519"/>
    <w:rPr>
      <w:rFonts w:ascii="Century Gothic" w:hAnsi="Century Gothic" w:cs="Arial"/>
      <w:color w:val="0070C0"/>
      <w:sz w:val="22"/>
      <w:szCs w:val="21"/>
      <w:lang w:eastAsia="en-GB"/>
    </w:rPr>
  </w:style>
  <w:style w:type="character" w:customStyle="1" w:styleId="CS-IBMBullet2Char">
    <w:name w:val="CS-IBM Bullet 2 Char"/>
    <w:link w:val="CS-IBMBullet2"/>
    <w:rsid w:val="00ED06D6"/>
    <w:rPr>
      <w:rFonts w:ascii="Century Gothic" w:hAnsi="Century Gothic" w:cs="Arial"/>
      <w:color w:val="000000" w:themeColor="text1"/>
      <w:sz w:val="22"/>
      <w:szCs w:val="21"/>
      <w:lang w:eastAsia="en-GB"/>
    </w:rPr>
  </w:style>
  <w:style w:type="paragraph" w:customStyle="1" w:styleId="CS-IBMBullet4">
    <w:name w:val="CS-IBM Bullet 4"/>
    <w:basedOn w:val="CS-IBMBullet3"/>
    <w:link w:val="CS-IBMBullet4Char"/>
    <w:qFormat/>
    <w:rsid w:val="00ED06D6"/>
    <w:pPr>
      <w:numPr>
        <w:numId w:val="19"/>
      </w:numPr>
    </w:pPr>
  </w:style>
  <w:style w:type="character" w:customStyle="1" w:styleId="CS-RFPBullet3Char">
    <w:name w:val="CS-RFP Bullet 3 Char"/>
    <w:link w:val="CS-RFPBullet3"/>
    <w:rsid w:val="00464519"/>
    <w:rPr>
      <w:rFonts w:ascii="Century Gothic" w:hAnsi="Century Gothic" w:cs="Arial"/>
      <w:color w:val="0070C0"/>
      <w:sz w:val="22"/>
      <w:szCs w:val="21"/>
      <w:lang w:eastAsia="en-GB"/>
    </w:rPr>
  </w:style>
  <w:style w:type="character" w:customStyle="1" w:styleId="CS-IBMBullet3Char">
    <w:name w:val="CS-IBM Bullet 3 Char"/>
    <w:link w:val="CS-IBMBullet3"/>
    <w:rsid w:val="00ED06D6"/>
    <w:rPr>
      <w:rFonts w:ascii="Century Gothic" w:hAnsi="Century Gothic" w:cs="Arial"/>
      <w:color w:val="000000" w:themeColor="text1"/>
      <w:sz w:val="22"/>
      <w:szCs w:val="21"/>
      <w:lang w:eastAsia="en-GB"/>
    </w:rPr>
  </w:style>
  <w:style w:type="paragraph" w:customStyle="1" w:styleId="CS-IBMBullet5">
    <w:name w:val="CS-IBM Bullet 5"/>
    <w:basedOn w:val="CS-IBMBullet4"/>
    <w:link w:val="CS-IBMBullet5Char"/>
    <w:qFormat/>
    <w:rsid w:val="00ED06D6"/>
    <w:pPr>
      <w:numPr>
        <w:numId w:val="20"/>
      </w:numPr>
    </w:pPr>
  </w:style>
  <w:style w:type="character" w:customStyle="1" w:styleId="CS-RFPBullet4Char">
    <w:name w:val="CS-RFP Bullet 4 Char"/>
    <w:link w:val="CS-RFPBullet4"/>
    <w:rsid w:val="00464519"/>
    <w:rPr>
      <w:rFonts w:ascii="Century Gothic" w:hAnsi="Century Gothic" w:cs="Arial"/>
      <w:color w:val="0070C0"/>
      <w:sz w:val="22"/>
      <w:szCs w:val="21"/>
      <w:lang w:eastAsia="en-GB"/>
    </w:rPr>
  </w:style>
  <w:style w:type="character" w:customStyle="1" w:styleId="CS-IBMBullet4Char">
    <w:name w:val="CS-IBM Bullet 4 Char"/>
    <w:link w:val="CS-IBMBullet4"/>
    <w:rsid w:val="00ED06D6"/>
    <w:rPr>
      <w:rFonts w:ascii="Century Gothic" w:hAnsi="Century Gothic" w:cs="Arial"/>
      <w:color w:val="000000" w:themeColor="text1"/>
      <w:sz w:val="22"/>
      <w:szCs w:val="21"/>
      <w:lang w:eastAsia="en-GB"/>
    </w:rPr>
  </w:style>
  <w:style w:type="paragraph" w:customStyle="1" w:styleId="CS-IBMNumber1">
    <w:name w:val="CS-IBM Number 1"/>
    <w:basedOn w:val="CS-IBMResponseText"/>
    <w:link w:val="CS-IBMNumber1Char"/>
    <w:qFormat/>
    <w:rsid w:val="00ED06D6"/>
    <w:pPr>
      <w:spacing w:before="60" w:after="60"/>
      <w:ind w:left="357" w:hanging="357"/>
    </w:pPr>
    <w:rPr>
      <w:color w:val="000000" w:themeColor="text1"/>
    </w:rPr>
  </w:style>
  <w:style w:type="character" w:customStyle="1" w:styleId="CS-RFPBullet5Char">
    <w:name w:val="CS-RFP Bullet 5 Char"/>
    <w:link w:val="CS-RFPBullet5"/>
    <w:rsid w:val="00464519"/>
    <w:rPr>
      <w:rFonts w:ascii="Century Gothic" w:hAnsi="Century Gothic" w:cs="Arial"/>
      <w:color w:val="0070C0"/>
      <w:sz w:val="22"/>
      <w:szCs w:val="21"/>
      <w:lang w:eastAsia="en-GB"/>
    </w:rPr>
  </w:style>
  <w:style w:type="character" w:customStyle="1" w:styleId="CS-IBMBullet5Char">
    <w:name w:val="CS-IBM Bullet 5 Char"/>
    <w:link w:val="CS-IBMBullet5"/>
    <w:rsid w:val="00ED06D6"/>
    <w:rPr>
      <w:rFonts w:ascii="Century Gothic" w:hAnsi="Century Gothic" w:cs="Arial"/>
      <w:color w:val="000000" w:themeColor="text1"/>
      <w:sz w:val="22"/>
      <w:szCs w:val="21"/>
      <w:lang w:eastAsia="en-GB"/>
    </w:rPr>
  </w:style>
  <w:style w:type="paragraph" w:customStyle="1" w:styleId="CS-IBMNumber2">
    <w:name w:val="CS-IBM Number 2"/>
    <w:basedOn w:val="CS-IBMNumber1"/>
    <w:link w:val="CS-IBMNumber2Char"/>
    <w:qFormat/>
    <w:rsid w:val="00464519"/>
    <w:pPr>
      <w:ind w:left="714"/>
    </w:pPr>
  </w:style>
  <w:style w:type="character" w:customStyle="1" w:styleId="CS-IBMNumber1Char">
    <w:name w:val="CS-IBM Number 1 Char"/>
    <w:link w:val="CS-IBMNumber1"/>
    <w:rsid w:val="00ED06D6"/>
    <w:rPr>
      <w:rFonts w:ascii="Arial" w:hAnsi="Arial" w:cs="Arial"/>
      <w:color w:val="000000" w:themeColor="text1"/>
      <w:sz w:val="22"/>
      <w:szCs w:val="21"/>
      <w:lang w:eastAsia="en-GB"/>
    </w:rPr>
  </w:style>
  <w:style w:type="paragraph" w:customStyle="1" w:styleId="CS-IBMNumber3">
    <w:name w:val="CS-IBM Number 3"/>
    <w:basedOn w:val="CS-IBMNumber2"/>
    <w:link w:val="CS-IBMNumber3Char"/>
    <w:qFormat/>
    <w:rsid w:val="00464519"/>
    <w:pPr>
      <w:ind w:left="1077"/>
    </w:pPr>
  </w:style>
  <w:style w:type="character" w:customStyle="1" w:styleId="CS-IBMNumber2Char">
    <w:name w:val="CS-IBM Number 2 Char"/>
    <w:link w:val="CS-IBMNumber2"/>
    <w:rsid w:val="00464519"/>
    <w:rPr>
      <w:rFonts w:ascii="Arial" w:hAnsi="Arial" w:cs="Arial"/>
      <w:color w:val="000000" w:themeColor="text1"/>
      <w:sz w:val="22"/>
      <w:szCs w:val="21"/>
      <w:lang w:eastAsia="en-GB"/>
    </w:rPr>
  </w:style>
  <w:style w:type="paragraph" w:customStyle="1" w:styleId="CS-IBMNumber4">
    <w:name w:val="CS-IBM Number 4"/>
    <w:basedOn w:val="CS-IBMNumber3"/>
    <w:link w:val="CS-IBMNumber4Char"/>
    <w:qFormat/>
    <w:rsid w:val="00464519"/>
    <w:pPr>
      <w:ind w:left="1434"/>
    </w:pPr>
  </w:style>
  <w:style w:type="character" w:customStyle="1" w:styleId="CS-IBMNumber3Char">
    <w:name w:val="CS-IBM Number 3 Char"/>
    <w:link w:val="CS-IBMNumber3"/>
    <w:rsid w:val="00464519"/>
    <w:rPr>
      <w:rFonts w:ascii="Arial" w:hAnsi="Arial" w:cs="Arial"/>
      <w:color w:val="000000" w:themeColor="text1"/>
      <w:sz w:val="22"/>
      <w:szCs w:val="21"/>
      <w:lang w:eastAsia="en-GB"/>
    </w:rPr>
  </w:style>
  <w:style w:type="paragraph" w:customStyle="1" w:styleId="CS-IBMNumber5">
    <w:name w:val="CS-IBM Number 5"/>
    <w:basedOn w:val="CS-IBMNumber4"/>
    <w:link w:val="CS-IBMNumber5Char"/>
    <w:qFormat/>
    <w:rsid w:val="00464519"/>
    <w:pPr>
      <w:ind w:left="1707" w:hanging="272"/>
    </w:pPr>
  </w:style>
  <w:style w:type="character" w:customStyle="1" w:styleId="CS-IBMNumber4Char">
    <w:name w:val="CS-IBM Number 4 Char"/>
    <w:link w:val="CS-IBMNumber4"/>
    <w:rsid w:val="00464519"/>
    <w:rPr>
      <w:rFonts w:ascii="Arial" w:hAnsi="Arial" w:cs="Arial"/>
      <w:color w:val="000000" w:themeColor="text1"/>
      <w:sz w:val="22"/>
      <w:szCs w:val="21"/>
      <w:lang w:eastAsia="en-GB"/>
    </w:rPr>
  </w:style>
  <w:style w:type="character" w:customStyle="1" w:styleId="CS-IBMNumber5Char">
    <w:name w:val="CS-IBM Number 5 Char"/>
    <w:link w:val="CS-IBMNumber5"/>
    <w:rsid w:val="00464519"/>
    <w:rPr>
      <w:rFonts w:ascii="Arial" w:hAnsi="Arial" w:cs="Arial"/>
      <w:color w:val="000000" w:themeColor="text1"/>
      <w:sz w:val="22"/>
      <w:szCs w:val="21"/>
      <w:lang w:eastAsia="en-GB"/>
    </w:rPr>
  </w:style>
  <w:style w:type="character" w:customStyle="1" w:styleId="CS-RFPBodyTextChar">
    <w:name w:val="CS-RFP Body Text Char"/>
    <w:link w:val="CS-RFPBodyText"/>
    <w:rsid w:val="00464519"/>
    <w:rPr>
      <w:rFonts w:ascii="Arial" w:hAnsi="Arial" w:cs="Arial"/>
      <w:color w:val="0070C0"/>
      <w:sz w:val="22"/>
      <w:szCs w:val="21"/>
      <w:lang w:eastAsia="en-GB"/>
    </w:rPr>
  </w:style>
  <w:style w:type="paragraph" w:customStyle="1" w:styleId="CS-IBMTableBullet2">
    <w:name w:val="CS-IBM Table Bullet 2"/>
    <w:basedOn w:val="CS-IBMBullet2"/>
    <w:qFormat/>
    <w:rsid w:val="00806112"/>
    <w:pPr>
      <w:numPr>
        <w:numId w:val="17"/>
      </w:numPr>
      <w:ind w:left="714" w:hanging="357"/>
    </w:pPr>
  </w:style>
  <w:style w:type="character" w:customStyle="1" w:styleId="FooterChar">
    <w:name w:val="Footer Char"/>
    <w:basedOn w:val="DefaultParagraphFont"/>
    <w:link w:val="Footer"/>
    <w:uiPriority w:val="99"/>
    <w:rsid w:val="00D57F1D"/>
    <w:rPr>
      <w:rFonts w:ascii="Arial" w:hAnsi="Arial" w:cs="Arial"/>
      <w:noProof/>
      <w:color w:val="0E3152"/>
      <w:sz w:val="18"/>
      <w:szCs w:val="21"/>
      <w:lang w:eastAsia="en-GB"/>
    </w:rPr>
  </w:style>
  <w:style w:type="character" w:styleId="UnresolvedMention">
    <w:name w:val="Unresolved Mention"/>
    <w:basedOn w:val="DefaultParagraphFont"/>
    <w:uiPriority w:val="99"/>
    <w:semiHidden/>
    <w:unhideWhenUsed/>
    <w:rsid w:val="00F55693"/>
    <w:rPr>
      <w:color w:val="605E5C"/>
      <w:shd w:val="clear" w:color="auto" w:fill="E1DFDD"/>
    </w:rPr>
  </w:style>
  <w:style w:type="paragraph" w:customStyle="1" w:styleId="CS-IBMCoverLetterAddress">
    <w:name w:val="CS-IBM Cover Letter Address"/>
    <w:qFormat/>
    <w:rsid w:val="00ED06D6"/>
    <w:rPr>
      <w:rFonts w:ascii="Arial" w:eastAsiaTheme="minorHAnsi" w:hAnsi="Arial" w:cstheme="minorBidi"/>
      <w:color w:val="008ABF" w:themeColor="accent2"/>
      <w:sz w:val="14"/>
      <w:szCs w:val="14"/>
    </w:rPr>
  </w:style>
  <w:style w:type="paragraph" w:customStyle="1" w:styleId="CS-IBMResponseText">
    <w:name w:val="CS - IBM Response Text"/>
    <w:qFormat/>
    <w:rsid w:val="006565DC"/>
    <w:pPr>
      <w:spacing w:before="120" w:after="120"/>
    </w:pPr>
    <w:rPr>
      <w:rFonts w:ascii="Century Gothic" w:hAnsi="Century Gothic" w:cs="Arial"/>
      <w:color w:val="0D0D0D" w:themeColor="text1" w:themeTint="F2"/>
      <w:sz w:val="22"/>
      <w:szCs w:val="21"/>
      <w:lang w:eastAsia="en-GB"/>
    </w:rPr>
  </w:style>
  <w:style w:type="paragraph" w:customStyle="1" w:styleId="CS-IBMCoverLetterText">
    <w:name w:val="CS - IBM Cover Letter Text"/>
    <w:basedOn w:val="CS-IBMResponseText"/>
    <w:qFormat/>
    <w:rsid w:val="003E58D5"/>
    <w:rPr>
      <w:szCs w:val="20"/>
    </w:rPr>
  </w:style>
  <w:style w:type="paragraph" w:customStyle="1" w:styleId="CS-IBMCoverLetterBullet">
    <w:name w:val="CS - IBM Cover Letter Bullet"/>
    <w:basedOn w:val="CS-IBMCoverLetterText"/>
    <w:qFormat/>
    <w:rsid w:val="003E58D5"/>
    <w:pPr>
      <w:numPr>
        <w:numId w:val="15"/>
      </w:numPr>
      <w:spacing w:before="60" w:after="60"/>
      <w:ind w:left="357" w:hanging="357"/>
    </w:pPr>
  </w:style>
  <w:style w:type="paragraph" w:customStyle="1" w:styleId="CS-IBMFigureorTableCaption">
    <w:name w:val="CS-IBM Figure or Table Caption"/>
    <w:next w:val="CS-IBMResponseText"/>
    <w:qFormat/>
    <w:rsid w:val="003E58D5"/>
    <w:pPr>
      <w:spacing w:before="120" w:after="120"/>
      <w:jc w:val="center"/>
    </w:pPr>
    <w:rPr>
      <w:rFonts w:ascii="Century Gothic" w:hAnsi="Century Gothic" w:cs="Arial"/>
      <w:i/>
      <w:iCs/>
      <w:color w:val="000000" w:themeColor="text1"/>
      <w:sz w:val="18"/>
      <w:szCs w:val="18"/>
      <w:lang w:eastAsia="en-GB"/>
    </w:rPr>
  </w:style>
  <w:style w:type="paragraph" w:customStyle="1" w:styleId="CS-IBMCalloutTitle">
    <w:name w:val="CS-IBM Callout Title"/>
    <w:basedOn w:val="CS-IBMResponseText"/>
    <w:qFormat/>
    <w:rsid w:val="00ED06D6"/>
    <w:pPr>
      <w:spacing w:before="60"/>
      <w:jc w:val="center"/>
    </w:pPr>
    <w:rPr>
      <w:rFonts w:cstheme="minorBidi"/>
      <w:b/>
      <w:bCs/>
      <w:i/>
      <w:iCs/>
      <w:color w:val="000000" w:themeColor="text1"/>
      <w:kern w:val="24"/>
      <w:szCs w:val="24"/>
    </w:rPr>
  </w:style>
  <w:style w:type="paragraph" w:customStyle="1" w:styleId="CS-IBMCalloutBullet">
    <w:name w:val="CS-IBM Callout Bullet"/>
    <w:basedOn w:val="CS-IBMBullet1"/>
    <w:qFormat/>
    <w:rsid w:val="00ED06D6"/>
    <w:pPr>
      <w:numPr>
        <w:numId w:val="14"/>
      </w:numPr>
      <w:ind w:left="357" w:hanging="357"/>
    </w:pPr>
    <w:rPr>
      <w:rFonts w:cstheme="minorBidi"/>
      <w:iCs/>
      <w:kern w:val="24"/>
    </w:rPr>
  </w:style>
  <w:style w:type="paragraph" w:customStyle="1" w:styleId="CS-IBMCalloutText">
    <w:name w:val="CS-IBM Callout Text"/>
    <w:basedOn w:val="CS-IBMResponseText"/>
    <w:qFormat/>
    <w:rsid w:val="00ED06D6"/>
    <w:pPr>
      <w:spacing w:before="60" w:after="60"/>
    </w:pPr>
  </w:style>
  <w:style w:type="paragraph" w:customStyle="1" w:styleId="CS-IBMTableBullet3">
    <w:name w:val="CS-IBM Table Bullet 3"/>
    <w:basedOn w:val="CS-IBMBullet3"/>
    <w:qFormat/>
    <w:rsid w:val="00806112"/>
    <w:pPr>
      <w:numPr>
        <w:numId w:val="18"/>
      </w:numPr>
      <w:ind w:left="1071" w:hanging="357"/>
    </w:pPr>
  </w:style>
  <w:style w:type="paragraph" w:customStyle="1" w:styleId="CS-IBMSub-ColumnHeader">
    <w:name w:val="CS-IBM Sub-Column Header"/>
    <w:basedOn w:val="CS-IBMTableText"/>
    <w:uiPriority w:val="99"/>
    <w:qFormat/>
    <w:rsid w:val="00464519"/>
    <w:pPr>
      <w:jc w:val="center"/>
    </w:pPr>
    <w:rPr>
      <w:b/>
      <w:bCs/>
    </w:rPr>
  </w:style>
  <w:style w:type="paragraph" w:styleId="Revision">
    <w:name w:val="Revision"/>
    <w:hidden/>
    <w:uiPriority w:val="99"/>
    <w:semiHidden/>
    <w:rsid w:val="00D11847"/>
    <w:rPr>
      <w:rFonts w:ascii="Arial" w:hAnsi="Arial"/>
      <w:color w:val="000000" w:themeColor="text1"/>
      <w:sz w:val="22"/>
      <w:szCs w:val="22"/>
      <w:lang w:eastAsia="en-GB"/>
    </w:rPr>
  </w:style>
  <w:style w:type="paragraph" w:styleId="Caption">
    <w:name w:val="caption"/>
    <w:basedOn w:val="Normal"/>
    <w:next w:val="Normal"/>
    <w:unhideWhenUsed/>
    <w:qFormat/>
    <w:rsid w:val="00F05C9E"/>
    <w:pPr>
      <w:spacing w:before="0" w:after="200"/>
    </w:pPr>
    <w:rPr>
      <w:i/>
      <w:iCs/>
      <w:color w:val="000000" w:themeColor="text2"/>
      <w:sz w:val="18"/>
      <w:szCs w:val="18"/>
    </w:rPr>
  </w:style>
  <w:style w:type="paragraph" w:customStyle="1" w:styleId="CS-IBMFooter">
    <w:name w:val="CS-IBM Footer"/>
    <w:basedOn w:val="CS-IBMHeader"/>
    <w:uiPriority w:val="99"/>
    <w:qFormat/>
    <w:rsid w:val="003E58D5"/>
    <w:pPr>
      <w:pBdr>
        <w:top w:val="single" w:sz="4" w:space="10" w:color="auto"/>
        <w:bottom w:val="none" w:sz="0" w:space="0" w:color="auto"/>
      </w:pBdr>
      <w:spacing w:before="240"/>
    </w:pPr>
    <w:rPr>
      <w:szCs w:val="18"/>
    </w:rPr>
  </w:style>
  <w:style w:type="character" w:styleId="Mention">
    <w:name w:val="Mention"/>
    <w:basedOn w:val="DefaultParagraphFont"/>
    <w:uiPriority w:val="99"/>
    <w:unhideWhenUsed/>
    <w:rsid w:val="004E113E"/>
    <w:rPr>
      <w:color w:val="2B579A"/>
      <w:shd w:val="clear" w:color="auto" w:fill="E1DFDD"/>
    </w:rPr>
  </w:style>
  <w:style w:type="character" w:customStyle="1" w:styleId="apple-converted-space">
    <w:name w:val="apple-converted-space"/>
    <w:basedOn w:val="DefaultParagraphFont"/>
    <w:rsid w:val="00E87C19"/>
  </w:style>
  <w:style w:type="character" w:styleId="Emphasis">
    <w:name w:val="Emphasis"/>
    <w:basedOn w:val="DefaultParagraphFont"/>
    <w:uiPriority w:val="20"/>
    <w:qFormat/>
    <w:rsid w:val="000C68CD"/>
    <w:rPr>
      <w:i/>
      <w:iCs/>
    </w:rPr>
  </w:style>
  <w:style w:type="table" w:styleId="PlainTable1">
    <w:name w:val="Plain Table 1"/>
    <w:basedOn w:val="TableNormal"/>
    <w:uiPriority w:val="41"/>
    <w:rsid w:val="001870A7"/>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ListTable3-Accent2">
    <w:name w:val="List Table 3 Accent 2"/>
    <w:basedOn w:val="TableNormal"/>
    <w:uiPriority w:val="48"/>
    <w:rsid w:val="00535DB8"/>
    <w:tblPr>
      <w:tblInd w:w="0" w:type="nil"/>
      <w:tblCellMar>
        <w:left w:w="0" w:type="dxa"/>
        <w:right w:w="0" w:type="dxa"/>
      </w:tblCellMar>
    </w:tblPr>
    <w:tcPr>
      <w:tcBorders>
        <w:insideH w:val="twistedLines1" w:sz="52" w:space="6" w:color="3A56CD"/>
        <w:tl2br w:val="twistedLines1" w:sz="52" w:space="6" w:color="3A56CD"/>
      </w:tcBorders>
    </w:tcPr>
    <w:tblStylePr w:type="firstRow">
      <w:rPr>
        <w:b/>
        <w:bCs/>
        <w:color w:val="FFFFFF" w:themeColor="background1"/>
      </w:rPr>
    </w:tblStylePr>
    <w:tblStylePr w:type="lastRow">
      <w:rPr>
        <w:b/>
        <w:bCs/>
      </w:r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160995">
      <w:bodyDiv w:val="1"/>
      <w:marLeft w:val="0"/>
      <w:marRight w:val="0"/>
      <w:marTop w:val="0"/>
      <w:marBottom w:val="0"/>
      <w:divBdr>
        <w:top w:val="none" w:sz="0" w:space="0" w:color="auto"/>
        <w:left w:val="none" w:sz="0" w:space="0" w:color="auto"/>
        <w:bottom w:val="none" w:sz="0" w:space="0" w:color="auto"/>
        <w:right w:val="none" w:sz="0" w:space="0" w:color="auto"/>
      </w:divBdr>
    </w:div>
    <w:div w:id="549073374">
      <w:bodyDiv w:val="1"/>
      <w:marLeft w:val="0"/>
      <w:marRight w:val="0"/>
      <w:marTop w:val="0"/>
      <w:marBottom w:val="0"/>
      <w:divBdr>
        <w:top w:val="none" w:sz="0" w:space="0" w:color="auto"/>
        <w:left w:val="none" w:sz="0" w:space="0" w:color="auto"/>
        <w:bottom w:val="none" w:sz="0" w:space="0" w:color="auto"/>
        <w:right w:val="none" w:sz="0" w:space="0" w:color="auto"/>
      </w:divBdr>
    </w:div>
    <w:div w:id="567690305">
      <w:bodyDiv w:val="1"/>
      <w:marLeft w:val="0"/>
      <w:marRight w:val="0"/>
      <w:marTop w:val="0"/>
      <w:marBottom w:val="0"/>
      <w:divBdr>
        <w:top w:val="none" w:sz="0" w:space="0" w:color="auto"/>
        <w:left w:val="none" w:sz="0" w:space="0" w:color="auto"/>
        <w:bottom w:val="none" w:sz="0" w:space="0" w:color="auto"/>
        <w:right w:val="none" w:sz="0" w:space="0" w:color="auto"/>
      </w:divBdr>
      <w:divsChild>
        <w:div w:id="468985837">
          <w:marLeft w:val="446"/>
          <w:marRight w:val="0"/>
          <w:marTop w:val="0"/>
          <w:marBottom w:val="0"/>
          <w:divBdr>
            <w:top w:val="none" w:sz="0" w:space="0" w:color="auto"/>
            <w:left w:val="none" w:sz="0" w:space="0" w:color="auto"/>
            <w:bottom w:val="none" w:sz="0" w:space="0" w:color="auto"/>
            <w:right w:val="none" w:sz="0" w:space="0" w:color="auto"/>
          </w:divBdr>
        </w:div>
        <w:div w:id="657225292">
          <w:marLeft w:val="446"/>
          <w:marRight w:val="0"/>
          <w:marTop w:val="0"/>
          <w:marBottom w:val="0"/>
          <w:divBdr>
            <w:top w:val="none" w:sz="0" w:space="0" w:color="auto"/>
            <w:left w:val="none" w:sz="0" w:space="0" w:color="auto"/>
            <w:bottom w:val="none" w:sz="0" w:space="0" w:color="auto"/>
            <w:right w:val="none" w:sz="0" w:space="0" w:color="auto"/>
          </w:divBdr>
        </w:div>
        <w:div w:id="1993173794">
          <w:marLeft w:val="446"/>
          <w:marRight w:val="0"/>
          <w:marTop w:val="0"/>
          <w:marBottom w:val="0"/>
          <w:divBdr>
            <w:top w:val="none" w:sz="0" w:space="0" w:color="auto"/>
            <w:left w:val="none" w:sz="0" w:space="0" w:color="auto"/>
            <w:bottom w:val="none" w:sz="0" w:space="0" w:color="auto"/>
            <w:right w:val="none" w:sz="0" w:space="0" w:color="auto"/>
          </w:divBdr>
        </w:div>
      </w:divsChild>
    </w:div>
    <w:div w:id="605502006">
      <w:bodyDiv w:val="1"/>
      <w:marLeft w:val="0"/>
      <w:marRight w:val="0"/>
      <w:marTop w:val="0"/>
      <w:marBottom w:val="0"/>
      <w:divBdr>
        <w:top w:val="none" w:sz="0" w:space="0" w:color="auto"/>
        <w:left w:val="none" w:sz="0" w:space="0" w:color="auto"/>
        <w:bottom w:val="none" w:sz="0" w:space="0" w:color="auto"/>
        <w:right w:val="none" w:sz="0" w:space="0" w:color="auto"/>
      </w:divBdr>
    </w:div>
    <w:div w:id="686949029">
      <w:bodyDiv w:val="1"/>
      <w:marLeft w:val="0"/>
      <w:marRight w:val="0"/>
      <w:marTop w:val="0"/>
      <w:marBottom w:val="0"/>
      <w:divBdr>
        <w:top w:val="none" w:sz="0" w:space="0" w:color="auto"/>
        <w:left w:val="none" w:sz="0" w:space="0" w:color="auto"/>
        <w:bottom w:val="none" w:sz="0" w:space="0" w:color="auto"/>
        <w:right w:val="none" w:sz="0" w:space="0" w:color="auto"/>
      </w:divBdr>
      <w:divsChild>
        <w:div w:id="756171419">
          <w:marLeft w:val="446"/>
          <w:marRight w:val="0"/>
          <w:marTop w:val="0"/>
          <w:marBottom w:val="0"/>
          <w:divBdr>
            <w:top w:val="none" w:sz="0" w:space="0" w:color="auto"/>
            <w:left w:val="none" w:sz="0" w:space="0" w:color="auto"/>
            <w:bottom w:val="none" w:sz="0" w:space="0" w:color="auto"/>
            <w:right w:val="none" w:sz="0" w:space="0" w:color="auto"/>
          </w:divBdr>
        </w:div>
        <w:div w:id="1896743305">
          <w:marLeft w:val="446"/>
          <w:marRight w:val="0"/>
          <w:marTop w:val="0"/>
          <w:marBottom w:val="0"/>
          <w:divBdr>
            <w:top w:val="none" w:sz="0" w:space="0" w:color="auto"/>
            <w:left w:val="none" w:sz="0" w:space="0" w:color="auto"/>
            <w:bottom w:val="none" w:sz="0" w:space="0" w:color="auto"/>
            <w:right w:val="none" w:sz="0" w:space="0" w:color="auto"/>
          </w:divBdr>
        </w:div>
        <w:div w:id="1957633357">
          <w:marLeft w:val="446"/>
          <w:marRight w:val="0"/>
          <w:marTop w:val="0"/>
          <w:marBottom w:val="0"/>
          <w:divBdr>
            <w:top w:val="none" w:sz="0" w:space="0" w:color="auto"/>
            <w:left w:val="none" w:sz="0" w:space="0" w:color="auto"/>
            <w:bottom w:val="none" w:sz="0" w:space="0" w:color="auto"/>
            <w:right w:val="none" w:sz="0" w:space="0" w:color="auto"/>
          </w:divBdr>
        </w:div>
      </w:divsChild>
    </w:div>
    <w:div w:id="799571455">
      <w:bodyDiv w:val="1"/>
      <w:marLeft w:val="0"/>
      <w:marRight w:val="0"/>
      <w:marTop w:val="0"/>
      <w:marBottom w:val="0"/>
      <w:divBdr>
        <w:top w:val="none" w:sz="0" w:space="0" w:color="auto"/>
        <w:left w:val="none" w:sz="0" w:space="0" w:color="auto"/>
        <w:bottom w:val="none" w:sz="0" w:space="0" w:color="auto"/>
        <w:right w:val="none" w:sz="0" w:space="0" w:color="auto"/>
      </w:divBdr>
      <w:divsChild>
        <w:div w:id="796601215">
          <w:marLeft w:val="446"/>
          <w:marRight w:val="0"/>
          <w:marTop w:val="0"/>
          <w:marBottom w:val="0"/>
          <w:divBdr>
            <w:top w:val="none" w:sz="0" w:space="0" w:color="auto"/>
            <w:left w:val="none" w:sz="0" w:space="0" w:color="auto"/>
            <w:bottom w:val="none" w:sz="0" w:space="0" w:color="auto"/>
            <w:right w:val="none" w:sz="0" w:space="0" w:color="auto"/>
          </w:divBdr>
        </w:div>
        <w:div w:id="1280798891">
          <w:marLeft w:val="446"/>
          <w:marRight w:val="0"/>
          <w:marTop w:val="0"/>
          <w:marBottom w:val="0"/>
          <w:divBdr>
            <w:top w:val="none" w:sz="0" w:space="0" w:color="auto"/>
            <w:left w:val="none" w:sz="0" w:space="0" w:color="auto"/>
            <w:bottom w:val="none" w:sz="0" w:space="0" w:color="auto"/>
            <w:right w:val="none" w:sz="0" w:space="0" w:color="auto"/>
          </w:divBdr>
        </w:div>
        <w:div w:id="1829979636">
          <w:marLeft w:val="446"/>
          <w:marRight w:val="0"/>
          <w:marTop w:val="0"/>
          <w:marBottom w:val="0"/>
          <w:divBdr>
            <w:top w:val="none" w:sz="0" w:space="0" w:color="auto"/>
            <w:left w:val="none" w:sz="0" w:space="0" w:color="auto"/>
            <w:bottom w:val="none" w:sz="0" w:space="0" w:color="auto"/>
            <w:right w:val="none" w:sz="0" w:space="0" w:color="auto"/>
          </w:divBdr>
        </w:div>
      </w:divsChild>
    </w:div>
    <w:div w:id="1190339415">
      <w:bodyDiv w:val="1"/>
      <w:marLeft w:val="0"/>
      <w:marRight w:val="0"/>
      <w:marTop w:val="0"/>
      <w:marBottom w:val="0"/>
      <w:divBdr>
        <w:top w:val="none" w:sz="0" w:space="0" w:color="auto"/>
        <w:left w:val="none" w:sz="0" w:space="0" w:color="auto"/>
        <w:bottom w:val="none" w:sz="0" w:space="0" w:color="auto"/>
        <w:right w:val="none" w:sz="0" w:space="0" w:color="auto"/>
      </w:divBdr>
    </w:div>
    <w:div w:id="1456145229">
      <w:bodyDiv w:val="1"/>
      <w:marLeft w:val="0"/>
      <w:marRight w:val="0"/>
      <w:marTop w:val="0"/>
      <w:marBottom w:val="0"/>
      <w:divBdr>
        <w:top w:val="none" w:sz="0" w:space="0" w:color="auto"/>
        <w:left w:val="none" w:sz="0" w:space="0" w:color="auto"/>
        <w:bottom w:val="none" w:sz="0" w:space="0" w:color="auto"/>
        <w:right w:val="none" w:sz="0" w:space="0" w:color="auto"/>
      </w:divBdr>
      <w:divsChild>
        <w:div w:id="1233542416">
          <w:marLeft w:val="0"/>
          <w:marRight w:val="0"/>
          <w:marTop w:val="0"/>
          <w:marBottom w:val="0"/>
          <w:divBdr>
            <w:top w:val="none" w:sz="0" w:space="0" w:color="auto"/>
            <w:left w:val="none" w:sz="0" w:space="0" w:color="auto"/>
            <w:bottom w:val="none" w:sz="0" w:space="0" w:color="auto"/>
            <w:right w:val="none" w:sz="0" w:space="0" w:color="auto"/>
          </w:divBdr>
          <w:divsChild>
            <w:div w:id="572931168">
              <w:marLeft w:val="0"/>
              <w:marRight w:val="0"/>
              <w:marTop w:val="0"/>
              <w:marBottom w:val="0"/>
              <w:divBdr>
                <w:top w:val="none" w:sz="0" w:space="0" w:color="auto"/>
                <w:left w:val="none" w:sz="0" w:space="0" w:color="auto"/>
                <w:bottom w:val="none" w:sz="0" w:space="0" w:color="auto"/>
                <w:right w:val="none" w:sz="0" w:space="0" w:color="auto"/>
              </w:divBdr>
            </w:div>
            <w:div w:id="618606911">
              <w:marLeft w:val="0"/>
              <w:marRight w:val="0"/>
              <w:marTop w:val="0"/>
              <w:marBottom w:val="0"/>
              <w:divBdr>
                <w:top w:val="none" w:sz="0" w:space="0" w:color="auto"/>
                <w:left w:val="none" w:sz="0" w:space="0" w:color="auto"/>
                <w:bottom w:val="none" w:sz="0" w:space="0" w:color="auto"/>
                <w:right w:val="none" w:sz="0" w:space="0" w:color="auto"/>
              </w:divBdr>
            </w:div>
            <w:div w:id="1212231407">
              <w:marLeft w:val="0"/>
              <w:marRight w:val="0"/>
              <w:marTop w:val="0"/>
              <w:marBottom w:val="0"/>
              <w:divBdr>
                <w:top w:val="none" w:sz="0" w:space="0" w:color="auto"/>
                <w:left w:val="none" w:sz="0" w:space="0" w:color="auto"/>
                <w:bottom w:val="none" w:sz="0" w:space="0" w:color="auto"/>
                <w:right w:val="none" w:sz="0" w:space="0" w:color="auto"/>
              </w:divBdr>
            </w:div>
            <w:div w:id="1449357065">
              <w:marLeft w:val="0"/>
              <w:marRight w:val="0"/>
              <w:marTop w:val="0"/>
              <w:marBottom w:val="0"/>
              <w:divBdr>
                <w:top w:val="none" w:sz="0" w:space="0" w:color="auto"/>
                <w:left w:val="none" w:sz="0" w:space="0" w:color="auto"/>
                <w:bottom w:val="none" w:sz="0" w:space="0" w:color="auto"/>
                <w:right w:val="none" w:sz="0" w:space="0" w:color="auto"/>
              </w:divBdr>
            </w:div>
            <w:div w:id="197710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382462">
      <w:bodyDiv w:val="1"/>
      <w:marLeft w:val="0"/>
      <w:marRight w:val="0"/>
      <w:marTop w:val="0"/>
      <w:marBottom w:val="0"/>
      <w:divBdr>
        <w:top w:val="none" w:sz="0" w:space="0" w:color="auto"/>
        <w:left w:val="none" w:sz="0" w:space="0" w:color="auto"/>
        <w:bottom w:val="none" w:sz="0" w:space="0" w:color="auto"/>
        <w:right w:val="none" w:sz="0" w:space="0" w:color="auto"/>
      </w:divBdr>
    </w:div>
    <w:div w:id="1598564388">
      <w:bodyDiv w:val="1"/>
      <w:marLeft w:val="0"/>
      <w:marRight w:val="0"/>
      <w:marTop w:val="0"/>
      <w:marBottom w:val="0"/>
      <w:divBdr>
        <w:top w:val="none" w:sz="0" w:space="0" w:color="auto"/>
        <w:left w:val="none" w:sz="0" w:space="0" w:color="auto"/>
        <w:bottom w:val="none" w:sz="0" w:space="0" w:color="auto"/>
        <w:right w:val="none" w:sz="0" w:space="0" w:color="auto"/>
      </w:divBdr>
    </w:div>
    <w:div w:id="1733040429">
      <w:bodyDiv w:val="1"/>
      <w:marLeft w:val="0"/>
      <w:marRight w:val="0"/>
      <w:marTop w:val="0"/>
      <w:marBottom w:val="0"/>
      <w:divBdr>
        <w:top w:val="none" w:sz="0" w:space="0" w:color="auto"/>
        <w:left w:val="none" w:sz="0" w:space="0" w:color="auto"/>
        <w:bottom w:val="none" w:sz="0" w:space="0" w:color="auto"/>
        <w:right w:val="none" w:sz="0" w:space="0" w:color="auto"/>
      </w:divBdr>
    </w:div>
    <w:div w:id="1775127752">
      <w:bodyDiv w:val="1"/>
      <w:marLeft w:val="0"/>
      <w:marRight w:val="0"/>
      <w:marTop w:val="0"/>
      <w:marBottom w:val="0"/>
      <w:divBdr>
        <w:top w:val="none" w:sz="0" w:space="0" w:color="auto"/>
        <w:left w:val="none" w:sz="0" w:space="0" w:color="auto"/>
        <w:bottom w:val="none" w:sz="0" w:space="0" w:color="auto"/>
        <w:right w:val="none" w:sz="0" w:space="0" w:color="auto"/>
      </w:divBdr>
    </w:div>
    <w:div w:id="2026789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customXml" Target="../customXml/item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theme" Target="theme/theme1.xml"/><Relationship Id="rId27" Type="http://schemas.openxmlformats.org/officeDocument/2006/relationships/customXml" Target="../customXml/item6.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Q2C Proposal Template">
      <a:dk1>
        <a:srgbClr val="000000"/>
      </a:dk1>
      <a:lt1>
        <a:srgbClr val="FFFFFF"/>
      </a:lt1>
      <a:dk2>
        <a:srgbClr val="000000"/>
      </a:dk2>
      <a:lt2>
        <a:srgbClr val="42474C"/>
      </a:lt2>
      <a:accent1>
        <a:srgbClr val="003F69"/>
      </a:accent1>
      <a:accent2>
        <a:srgbClr val="008ABF"/>
      </a:accent2>
      <a:accent3>
        <a:srgbClr val="00A6A0"/>
      </a:accent3>
      <a:accent4>
        <a:srgbClr val="86BE4A"/>
      </a:accent4>
      <a:accent5>
        <a:srgbClr val="C52636"/>
      </a:accent5>
      <a:accent6>
        <a:srgbClr val="E48A3F"/>
      </a:accent6>
      <a:hlink>
        <a:srgbClr val="008ABF"/>
      </a:hlink>
      <a:folHlink>
        <a:srgbClr val="6B737C"/>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7F886295FD50240A51205FADCF73148" ma:contentTypeVersion="3" ma:contentTypeDescription="Create a new document." ma:contentTypeScope="" ma:versionID="d723d2944177a3e679142524ab19b624">
  <xsd:schema xmlns:xsd="http://www.w3.org/2001/XMLSchema" xmlns:xs="http://www.w3.org/2001/XMLSchema" xmlns:p="http://schemas.microsoft.com/office/2006/metadata/properties" xmlns:ns2="500343c0-af67-4d55-b6f3-a7838e163d14" xmlns:ns3="3c52f3de-f6ea-4171-9f59-d185ac51bd8c" targetNamespace="http://schemas.microsoft.com/office/2006/metadata/properties" ma:root="true" ma:fieldsID="9e0a1e31ded1f46a996e91767901b4fc" ns2:_="" ns3:_="">
    <xsd:import namespace="500343c0-af67-4d55-b6f3-a7838e163d14"/>
    <xsd:import namespace="3c52f3de-f6ea-4171-9f59-d185ac51bd8c"/>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c52f3de-f6ea-4171-9f59-d185ac51bd8c"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5bce90d6-5a2c-47e0-8337-aac7acda0e97" ContentTypeId="0x0101" PreviousValue="false" LastSyncTimeStamp="2017-02-08T00:21:31.92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W3A6JUTVPN6F-1912509297-124</_dlc_DocId>
    <_dlc_DocIdUrl xmlns="500343c0-af67-4d55-b6f3-a7838e163d14">
      <Url>https://osicagov.sharepoint.com/sites/CalSAWS_Procurement/_layouts/15/DocIdRedir.aspx?ID=W3A6JUTVPN6F-1912509297-124</Url>
      <Description>W3A6JUTVPN6F-1912509297-124</Description>
    </_dlc_DocIdUrl>
  </documentManagement>
</p:properties>
</file>

<file path=customXml/itemProps1.xml><?xml version="1.0" encoding="utf-8"?>
<ds:datastoreItem xmlns:ds="http://schemas.openxmlformats.org/officeDocument/2006/customXml" ds:itemID="{95F7F4D9-2A68-49F0-B72F-CC02A3E5B6EE}">
  <ds:schemaRefs>
    <ds:schemaRef ds:uri="http://schemas.openxmlformats.org/officeDocument/2006/bibliography"/>
  </ds:schemaRefs>
</ds:datastoreItem>
</file>

<file path=customXml/itemProps2.xml><?xml version="1.0" encoding="utf-8"?>
<ds:datastoreItem xmlns:ds="http://schemas.openxmlformats.org/officeDocument/2006/customXml" ds:itemID="{B846A6FE-841A-4114-8EC5-ABDF4CE01D88}"/>
</file>

<file path=customXml/itemProps3.xml><?xml version="1.0" encoding="utf-8"?>
<ds:datastoreItem xmlns:ds="http://schemas.openxmlformats.org/officeDocument/2006/customXml" ds:itemID="{F0A40CA2-A096-4483-A522-718BA236C005}"/>
</file>

<file path=customXml/itemProps4.xml><?xml version="1.0" encoding="utf-8"?>
<ds:datastoreItem xmlns:ds="http://schemas.openxmlformats.org/officeDocument/2006/customXml" ds:itemID="{8926F43E-C442-4D62-A6E8-14237B405406}"/>
</file>

<file path=customXml/itemProps5.xml><?xml version="1.0" encoding="utf-8"?>
<ds:datastoreItem xmlns:ds="http://schemas.openxmlformats.org/officeDocument/2006/customXml" ds:itemID="{59D76B70-32BF-4D30-8EFA-ED2934090D31}"/>
</file>

<file path=customXml/itemProps6.xml><?xml version="1.0" encoding="utf-8"?>
<ds:datastoreItem xmlns:ds="http://schemas.openxmlformats.org/officeDocument/2006/customXml" ds:itemID="{C7BBF12C-E995-41B7-A273-22A53FF10617}"/>
</file>

<file path=docProps/app.xml><?xml version="1.0" encoding="utf-8"?>
<Properties xmlns="http://schemas.openxmlformats.org/officeDocument/2006/extended-properties" xmlns:vt="http://schemas.openxmlformats.org/officeDocument/2006/docPropsVTypes">
  <Template>Normal</Template>
  <TotalTime>212</TotalTime>
  <Pages>30</Pages>
  <Words>8449</Words>
  <Characters>56321</Characters>
  <Application>Microsoft Office Word</Application>
  <DocSecurity>0</DocSecurity>
  <Lines>469</Lines>
  <Paragraphs>129</Paragraphs>
  <ScaleCrop>false</ScaleCrop>
  <Company>IBM</Company>
  <LinksUpToDate>false</LinksUpToDate>
  <CharactersWithSpaces>64641</CharactersWithSpaces>
  <SharedDoc>false</SharedDoc>
  <HLinks>
    <vt:vector size="144" baseType="variant">
      <vt:variant>
        <vt:i4>1376306</vt:i4>
      </vt:variant>
      <vt:variant>
        <vt:i4>146</vt:i4>
      </vt:variant>
      <vt:variant>
        <vt:i4>0</vt:i4>
      </vt:variant>
      <vt:variant>
        <vt:i4>5</vt:i4>
      </vt:variant>
      <vt:variant>
        <vt:lpwstr/>
      </vt:variant>
      <vt:variant>
        <vt:lpwstr>_Toc213064572</vt:lpwstr>
      </vt:variant>
      <vt:variant>
        <vt:i4>1376306</vt:i4>
      </vt:variant>
      <vt:variant>
        <vt:i4>140</vt:i4>
      </vt:variant>
      <vt:variant>
        <vt:i4>0</vt:i4>
      </vt:variant>
      <vt:variant>
        <vt:i4>5</vt:i4>
      </vt:variant>
      <vt:variant>
        <vt:lpwstr/>
      </vt:variant>
      <vt:variant>
        <vt:lpwstr>_Toc213064571</vt:lpwstr>
      </vt:variant>
      <vt:variant>
        <vt:i4>1376306</vt:i4>
      </vt:variant>
      <vt:variant>
        <vt:i4>134</vt:i4>
      </vt:variant>
      <vt:variant>
        <vt:i4>0</vt:i4>
      </vt:variant>
      <vt:variant>
        <vt:i4>5</vt:i4>
      </vt:variant>
      <vt:variant>
        <vt:lpwstr/>
      </vt:variant>
      <vt:variant>
        <vt:lpwstr>_Toc213064570</vt:lpwstr>
      </vt:variant>
      <vt:variant>
        <vt:i4>1310770</vt:i4>
      </vt:variant>
      <vt:variant>
        <vt:i4>128</vt:i4>
      </vt:variant>
      <vt:variant>
        <vt:i4>0</vt:i4>
      </vt:variant>
      <vt:variant>
        <vt:i4>5</vt:i4>
      </vt:variant>
      <vt:variant>
        <vt:lpwstr/>
      </vt:variant>
      <vt:variant>
        <vt:lpwstr>_Toc213064569</vt:lpwstr>
      </vt:variant>
      <vt:variant>
        <vt:i4>1310770</vt:i4>
      </vt:variant>
      <vt:variant>
        <vt:i4>122</vt:i4>
      </vt:variant>
      <vt:variant>
        <vt:i4>0</vt:i4>
      </vt:variant>
      <vt:variant>
        <vt:i4>5</vt:i4>
      </vt:variant>
      <vt:variant>
        <vt:lpwstr/>
      </vt:variant>
      <vt:variant>
        <vt:lpwstr>_Toc213064568</vt:lpwstr>
      </vt:variant>
      <vt:variant>
        <vt:i4>1114163</vt:i4>
      </vt:variant>
      <vt:variant>
        <vt:i4>113</vt:i4>
      </vt:variant>
      <vt:variant>
        <vt:i4>0</vt:i4>
      </vt:variant>
      <vt:variant>
        <vt:i4>5</vt:i4>
      </vt:variant>
      <vt:variant>
        <vt:lpwstr/>
      </vt:variant>
      <vt:variant>
        <vt:lpwstr>_Toc213064435</vt:lpwstr>
      </vt:variant>
      <vt:variant>
        <vt:i4>1114163</vt:i4>
      </vt:variant>
      <vt:variant>
        <vt:i4>107</vt:i4>
      </vt:variant>
      <vt:variant>
        <vt:i4>0</vt:i4>
      </vt:variant>
      <vt:variant>
        <vt:i4>5</vt:i4>
      </vt:variant>
      <vt:variant>
        <vt:lpwstr/>
      </vt:variant>
      <vt:variant>
        <vt:lpwstr>_Toc213064434</vt:lpwstr>
      </vt:variant>
      <vt:variant>
        <vt:i4>1114163</vt:i4>
      </vt:variant>
      <vt:variant>
        <vt:i4>101</vt:i4>
      </vt:variant>
      <vt:variant>
        <vt:i4>0</vt:i4>
      </vt:variant>
      <vt:variant>
        <vt:i4>5</vt:i4>
      </vt:variant>
      <vt:variant>
        <vt:lpwstr/>
      </vt:variant>
      <vt:variant>
        <vt:lpwstr>_Toc213064433</vt:lpwstr>
      </vt:variant>
      <vt:variant>
        <vt:i4>1114163</vt:i4>
      </vt:variant>
      <vt:variant>
        <vt:i4>95</vt:i4>
      </vt:variant>
      <vt:variant>
        <vt:i4>0</vt:i4>
      </vt:variant>
      <vt:variant>
        <vt:i4>5</vt:i4>
      </vt:variant>
      <vt:variant>
        <vt:lpwstr/>
      </vt:variant>
      <vt:variant>
        <vt:lpwstr>_Toc213064432</vt:lpwstr>
      </vt:variant>
      <vt:variant>
        <vt:i4>1114163</vt:i4>
      </vt:variant>
      <vt:variant>
        <vt:i4>89</vt:i4>
      </vt:variant>
      <vt:variant>
        <vt:i4>0</vt:i4>
      </vt:variant>
      <vt:variant>
        <vt:i4>5</vt:i4>
      </vt:variant>
      <vt:variant>
        <vt:lpwstr/>
      </vt:variant>
      <vt:variant>
        <vt:lpwstr>_Toc213064431</vt:lpwstr>
      </vt:variant>
      <vt:variant>
        <vt:i4>1114163</vt:i4>
      </vt:variant>
      <vt:variant>
        <vt:i4>83</vt:i4>
      </vt:variant>
      <vt:variant>
        <vt:i4>0</vt:i4>
      </vt:variant>
      <vt:variant>
        <vt:i4>5</vt:i4>
      </vt:variant>
      <vt:variant>
        <vt:lpwstr/>
      </vt:variant>
      <vt:variant>
        <vt:lpwstr>_Toc213064430</vt:lpwstr>
      </vt:variant>
      <vt:variant>
        <vt:i4>1441844</vt:i4>
      </vt:variant>
      <vt:variant>
        <vt:i4>74</vt:i4>
      </vt:variant>
      <vt:variant>
        <vt:i4>0</vt:i4>
      </vt:variant>
      <vt:variant>
        <vt:i4>5</vt:i4>
      </vt:variant>
      <vt:variant>
        <vt:lpwstr/>
      </vt:variant>
      <vt:variant>
        <vt:lpwstr>_Toc212460246</vt:lpwstr>
      </vt:variant>
      <vt:variant>
        <vt:i4>1441844</vt:i4>
      </vt:variant>
      <vt:variant>
        <vt:i4>68</vt:i4>
      </vt:variant>
      <vt:variant>
        <vt:i4>0</vt:i4>
      </vt:variant>
      <vt:variant>
        <vt:i4>5</vt:i4>
      </vt:variant>
      <vt:variant>
        <vt:lpwstr/>
      </vt:variant>
      <vt:variant>
        <vt:lpwstr>_Toc212460245</vt:lpwstr>
      </vt:variant>
      <vt:variant>
        <vt:i4>1441844</vt:i4>
      </vt:variant>
      <vt:variant>
        <vt:i4>62</vt:i4>
      </vt:variant>
      <vt:variant>
        <vt:i4>0</vt:i4>
      </vt:variant>
      <vt:variant>
        <vt:i4>5</vt:i4>
      </vt:variant>
      <vt:variant>
        <vt:lpwstr/>
      </vt:variant>
      <vt:variant>
        <vt:lpwstr>_Toc212460244</vt:lpwstr>
      </vt:variant>
      <vt:variant>
        <vt:i4>1441844</vt:i4>
      </vt:variant>
      <vt:variant>
        <vt:i4>56</vt:i4>
      </vt:variant>
      <vt:variant>
        <vt:i4>0</vt:i4>
      </vt:variant>
      <vt:variant>
        <vt:i4>5</vt:i4>
      </vt:variant>
      <vt:variant>
        <vt:lpwstr/>
      </vt:variant>
      <vt:variant>
        <vt:lpwstr>_Toc212460243</vt:lpwstr>
      </vt:variant>
      <vt:variant>
        <vt:i4>1441844</vt:i4>
      </vt:variant>
      <vt:variant>
        <vt:i4>50</vt:i4>
      </vt:variant>
      <vt:variant>
        <vt:i4>0</vt:i4>
      </vt:variant>
      <vt:variant>
        <vt:i4>5</vt:i4>
      </vt:variant>
      <vt:variant>
        <vt:lpwstr/>
      </vt:variant>
      <vt:variant>
        <vt:lpwstr>_Toc212460242</vt:lpwstr>
      </vt:variant>
      <vt:variant>
        <vt:i4>1441844</vt:i4>
      </vt:variant>
      <vt:variant>
        <vt:i4>44</vt:i4>
      </vt:variant>
      <vt:variant>
        <vt:i4>0</vt:i4>
      </vt:variant>
      <vt:variant>
        <vt:i4>5</vt:i4>
      </vt:variant>
      <vt:variant>
        <vt:lpwstr/>
      </vt:variant>
      <vt:variant>
        <vt:lpwstr>_Toc212460241</vt:lpwstr>
      </vt:variant>
      <vt:variant>
        <vt:i4>1441844</vt:i4>
      </vt:variant>
      <vt:variant>
        <vt:i4>38</vt:i4>
      </vt:variant>
      <vt:variant>
        <vt:i4>0</vt:i4>
      </vt:variant>
      <vt:variant>
        <vt:i4>5</vt:i4>
      </vt:variant>
      <vt:variant>
        <vt:lpwstr/>
      </vt:variant>
      <vt:variant>
        <vt:lpwstr>_Toc212460240</vt:lpwstr>
      </vt:variant>
      <vt:variant>
        <vt:i4>1114164</vt:i4>
      </vt:variant>
      <vt:variant>
        <vt:i4>32</vt:i4>
      </vt:variant>
      <vt:variant>
        <vt:i4>0</vt:i4>
      </vt:variant>
      <vt:variant>
        <vt:i4>5</vt:i4>
      </vt:variant>
      <vt:variant>
        <vt:lpwstr/>
      </vt:variant>
      <vt:variant>
        <vt:lpwstr>_Toc212460239</vt:lpwstr>
      </vt:variant>
      <vt:variant>
        <vt:i4>1114164</vt:i4>
      </vt:variant>
      <vt:variant>
        <vt:i4>26</vt:i4>
      </vt:variant>
      <vt:variant>
        <vt:i4>0</vt:i4>
      </vt:variant>
      <vt:variant>
        <vt:i4>5</vt:i4>
      </vt:variant>
      <vt:variant>
        <vt:lpwstr/>
      </vt:variant>
      <vt:variant>
        <vt:lpwstr>_Toc212460238</vt:lpwstr>
      </vt:variant>
      <vt:variant>
        <vt:i4>1114164</vt:i4>
      </vt:variant>
      <vt:variant>
        <vt:i4>20</vt:i4>
      </vt:variant>
      <vt:variant>
        <vt:i4>0</vt:i4>
      </vt:variant>
      <vt:variant>
        <vt:i4>5</vt:i4>
      </vt:variant>
      <vt:variant>
        <vt:lpwstr/>
      </vt:variant>
      <vt:variant>
        <vt:lpwstr>_Toc212460237</vt:lpwstr>
      </vt:variant>
      <vt:variant>
        <vt:i4>1114164</vt:i4>
      </vt:variant>
      <vt:variant>
        <vt:i4>14</vt:i4>
      </vt:variant>
      <vt:variant>
        <vt:i4>0</vt:i4>
      </vt:variant>
      <vt:variant>
        <vt:i4>5</vt:i4>
      </vt:variant>
      <vt:variant>
        <vt:lpwstr/>
      </vt:variant>
      <vt:variant>
        <vt:lpwstr>_Toc212460236</vt:lpwstr>
      </vt:variant>
      <vt:variant>
        <vt:i4>1114164</vt:i4>
      </vt:variant>
      <vt:variant>
        <vt:i4>8</vt:i4>
      </vt:variant>
      <vt:variant>
        <vt:i4>0</vt:i4>
      </vt:variant>
      <vt:variant>
        <vt:i4>5</vt:i4>
      </vt:variant>
      <vt:variant>
        <vt:lpwstr/>
      </vt:variant>
      <vt:variant>
        <vt:lpwstr>_Toc212460235</vt:lpwstr>
      </vt:variant>
      <vt:variant>
        <vt:i4>1114164</vt:i4>
      </vt:variant>
      <vt:variant>
        <vt:i4>2</vt:i4>
      </vt:variant>
      <vt:variant>
        <vt:i4>0</vt:i4>
      </vt:variant>
      <vt:variant>
        <vt:i4>5</vt:i4>
      </vt:variant>
      <vt:variant>
        <vt:lpwstr/>
      </vt:variant>
      <vt:variant>
        <vt:lpwstr>_Toc212460234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Yems Estrella</dc:creator>
  <cp:keywords/>
  <cp:lastModifiedBy>Cheria Blomme</cp:lastModifiedBy>
  <cp:revision>465</cp:revision>
  <cp:lastPrinted>2025-10-28T00:19:00Z</cp:lastPrinted>
  <dcterms:created xsi:type="dcterms:W3CDTF">2025-10-23T10:12:00Z</dcterms:created>
  <dcterms:modified xsi:type="dcterms:W3CDTF">2025-11-03T22:11:00Z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0x01010007F886295FD50240A51205FADCF73148</vt:lpwstr>
  </property>
  <property fmtid="{D5CDD505-2E9C-101B-9397-08002B2CF9AE}" pid="3" name="_dlc_DocIdItemGuid">
    <vt:lpwstr>f2f791eb-d7fb-4d3d-b60d-10a04d2fca48</vt:lpwstr>
  </property>
</Properties>
</file>